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99"/>
        <w:ind w:left="4536"/>
        <w:jc w:val="both"/>
        <w:spacing w:after="0" w:line="240" w:lineRule="auto"/>
        <w:rPr>
          <w:sz w:val="18"/>
          <w:szCs w:val="18"/>
          <w:highlight w:val="none"/>
        </w:rPr>
      </w:pPr>
      <w:r>
        <w:rPr>
          <w:sz w:val="18"/>
          <w:szCs w:val="18"/>
        </w:rPr>
        <w:t xml:space="preserve">Приложение </w:t>
      </w:r>
      <w:r>
        <w:rPr>
          <w:sz w:val="18"/>
          <w:szCs w:val="18"/>
          <w:lang w:val="ru-RU"/>
        </w:rPr>
        <w:t xml:space="preserve">21</w:t>
      </w:r>
      <w:r>
        <w:rPr>
          <w:sz w:val="18"/>
          <w:szCs w:val="18"/>
          <w:highlight w:val="none"/>
          <w:lang w:val="ru-RU"/>
        </w:rPr>
      </w:r>
      <w:r>
        <w:rPr>
          <w:sz w:val="18"/>
          <w:szCs w:val="18"/>
          <w:highlight w:val="none"/>
        </w:rPr>
      </w:r>
    </w:p>
    <w:p>
      <w:pPr>
        <w:contextualSpacing/>
        <w:ind w:left="4535" w:right="0" w:firstLine="0"/>
        <w:jc w:val="both"/>
        <w:spacing w:line="240" w:lineRule="auto"/>
        <w:tabs>
          <w:tab w:val="left" w:pos="4819" w:leader="none"/>
        </w:tabs>
        <w:rPr>
          <w:rFonts w:ascii="Times New Roman" w:hAnsi="Times New Roman" w:cs="Times New Roman"/>
          <w:sz w:val="18"/>
          <w:szCs w:val="18"/>
        </w:rPr>
      </w:pPr>
      <w:r>
        <w:rPr>
          <w:sz w:val="18"/>
          <w:szCs w:val="18"/>
        </w:rPr>
        <w:t xml:space="preserve">к</w:t>
      </w:r>
      <w:r>
        <w:rPr>
          <w:rFonts w:ascii="Times New Roman" w:hAnsi="Times New Roman" w:cs="Times New Roman"/>
          <w:sz w:val="18"/>
          <w:szCs w:val="18"/>
          <w:lang w:val="en-US" w:eastAsia="en-US"/>
        </w:rPr>
        <w:t xml:space="preserve">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18"/>
          <w:szCs w:val="18"/>
          <w:lang w:val="en-US" w:eastAsia="en-US"/>
        </w:rPr>
      </w:r>
      <w:r>
        <w:rPr>
          <w:rFonts w:ascii="Times New Roman" w:hAnsi="Times New Roman" w:cs="Times New Roman"/>
          <w:sz w:val="18"/>
          <w:szCs w:val="18"/>
          <w:lang w:eastAsia="ru-RU"/>
        </w:rPr>
        <w:t xml:space="preserve">в </w:t>
        <w:br/>
        <w:t xml:space="preserve">АО «Россельхозбанк» с использованием </w:t>
      </w:r>
      <w:r>
        <w:rPr>
          <w:rFonts w:ascii="Times New Roman" w:hAnsi="Times New Roman" w:cs="Times New Roman"/>
          <w:iCs/>
          <w:sz w:val="18"/>
          <w:szCs w:val="18"/>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18"/>
          <w:szCs w:val="18"/>
          <w:lang w:eastAsia="ru-RU"/>
        </w:rPr>
        <w:t xml:space="preserve">в рамках Единого сервисного договора</w:t>
      </w:r>
      <w:r>
        <w:rPr>
          <w:sz w:val="18"/>
          <w:szCs w:val="18"/>
        </w:rPr>
      </w:r>
      <w:r>
        <w:rPr>
          <w:sz w:val="18"/>
          <w:szCs w:val="18"/>
          <w:highlight w:val="none"/>
        </w:rPr>
      </w:r>
      <w:r>
        <w:rPr>
          <w:rFonts w:ascii="Times New Roman" w:hAnsi="Times New Roman" w:cs="Times New Roman"/>
          <w:sz w:val="18"/>
          <w:szCs w:val="18"/>
        </w:rPr>
      </w:r>
    </w:p>
    <w:p>
      <w:pPr>
        <w:ind w:left="2835" w:right="-1" w:firstLine="0"/>
        <w:jc w:val="right"/>
        <w:spacing w:before="62" w:beforeAutospacing="0" w:after="0" w:afterAutospacing="0" w:line="240" w:lineRule="auto"/>
        <w:widowControl w:val="off"/>
        <w:rPr>
          <w:rFonts w:ascii="Times New Roman" w:hAnsi="Times New Roman" w:cs="Times New Roman"/>
          <w:i/>
          <w:iCs/>
          <w:sz w:val="18"/>
          <w:szCs w:val="18"/>
        </w:rPr>
        <w:suppressLineNumbers w:val="0"/>
      </w:pPr>
      <w:r>
        <w:rPr>
          <w:bCs/>
          <w:i/>
          <w:iCs/>
          <w:sz w:val="18"/>
          <w:szCs w:val="18"/>
        </w:rPr>
        <w:t xml:space="preserve">(в редакции </w:t>
      </w:r>
      <w:r>
        <w:rPr>
          <w:rFonts w:ascii="Times New Roman" w:hAnsi="Times New Roman" w:eastAsia="Times New Roman" w:cs="Times New Roman"/>
          <w:i/>
          <w:iCs/>
          <w:sz w:val="18"/>
          <w:szCs w:val="18"/>
        </w:rPr>
        <w:t xml:space="preserve">приказа АО «Россельхозбанк» </w:t>
      </w:r>
      <w:r>
        <w:rPr>
          <w:rFonts w:ascii="Times New Roman" w:hAnsi="Times New Roman" w:eastAsia="Times New Roman" w:cs="Times New Roman"/>
          <w:i/>
          <w:iCs/>
          <w:sz w:val="18"/>
          <w:szCs w:val="18"/>
        </w:rPr>
        <w:t xml:space="preserve">от </w:t>
      </w:r>
      <w:r>
        <w:rPr>
          <w:rFonts w:ascii="Times New Roman" w:hAnsi="Times New Roman" w:eastAsia="Times New Roman" w:cs="Times New Roman"/>
          <w:i/>
          <w:iCs/>
          <w:sz w:val="18"/>
          <w:szCs w:val="18"/>
        </w:rPr>
        <w:t xml:space="preserve">11.08.</w:t>
      </w:r>
      <w:r>
        <w:rPr>
          <w:rFonts w:ascii="Times New Roman" w:hAnsi="Times New Roman" w:eastAsia="Times New Roman" w:cs="Times New Roman"/>
          <w:i/>
          <w:iCs/>
          <w:sz w:val="18"/>
          <w:szCs w:val="18"/>
        </w:rPr>
        <w:t xml:space="preserve">2025</w:t>
      </w:r>
      <w:r>
        <w:rPr>
          <w:rFonts w:ascii="Times New Roman" w:hAnsi="Times New Roman" w:eastAsia="Times New Roman" w:cs="Times New Roman"/>
          <w:i/>
          <w:iCs/>
          <w:sz w:val="18"/>
          <w:szCs w:val="18"/>
        </w:rPr>
        <w:t xml:space="preserve"> № </w:t>
      </w:r>
      <w:r>
        <w:rPr>
          <w:rFonts w:ascii="Times New Roman" w:hAnsi="Times New Roman" w:eastAsia="Times New Roman" w:cs="Times New Roman"/>
          <w:i/>
          <w:iCs/>
          <w:sz w:val="18"/>
          <w:szCs w:val="18"/>
        </w:rPr>
        <w:t xml:space="preserve">1452-ОД</w:t>
      </w:r>
      <w:r>
        <w:rPr>
          <w:rFonts w:ascii="Times New Roman" w:hAnsi="Times New Roman" w:cs="Times New Roman"/>
          <w:i/>
          <w:iCs/>
          <w:sz w:val="18"/>
          <w:szCs w:val="18"/>
        </w:rPr>
      </w:r>
      <w:r>
        <w:rPr>
          <w:rFonts w:ascii="Times New Roman" w:hAnsi="Times New Roman" w:cs="Times New Roman"/>
          <w:i/>
          <w:iCs/>
          <w:sz w:val="18"/>
          <w:szCs w:val="18"/>
        </w:rPr>
      </w:r>
    </w:p>
    <w:p>
      <w:pPr>
        <w:pStyle w:val="999"/>
        <w:ind w:left="4536"/>
        <w:spacing w:after="0" w:line="240" w:lineRule="auto"/>
        <w:rPr>
          <w:sz w:val="18"/>
          <w:szCs w:val="18"/>
        </w:rPr>
      </w:pPr>
      <w:r>
        <w:rPr>
          <w:sz w:val="18"/>
          <w:szCs w:val="18"/>
          <w:highlight w:val="none"/>
        </w:rPr>
      </w:r>
      <w:r>
        <w:rPr>
          <w:sz w:val="18"/>
          <w:szCs w:val="18"/>
          <w:highlight w:val="none"/>
        </w:rPr>
      </w:r>
    </w:p>
    <w:p>
      <w:pPr>
        <w:pStyle w:val="973"/>
        <w:contextualSpacing/>
        <w:ind w:left="4536"/>
        <w:spacing w:line="240" w:lineRule="atLeast"/>
        <w:rPr>
          <w:b/>
        </w:rPr>
      </w:pPr>
      <w:r>
        <w:rPr>
          <w:b/>
        </w:rPr>
      </w:r>
      <w:r>
        <w:rPr>
          <w:b/>
        </w:rPr>
      </w:r>
      <w:r>
        <w:rPr>
          <w:b/>
        </w:rPr>
      </w:r>
    </w:p>
    <w:p>
      <w:pPr>
        <w:pStyle w:val="973"/>
        <w:jc w:val="center"/>
        <w:widowControl w:val="off"/>
        <w:rPr>
          <w:b/>
          <w:bCs/>
          <w:sz w:val="20"/>
          <w:szCs w:val="20"/>
        </w:rPr>
      </w:pPr>
      <w:r>
        <w:rPr>
          <w:b/>
          <w:bCs/>
          <w:sz w:val="20"/>
          <w:szCs w:val="20"/>
        </w:rPr>
        <w:t xml:space="preserve">ЗАЯВЛЕНИЕ </w:t>
      </w:r>
      <w:r>
        <w:rPr>
          <w:b/>
          <w:bCs/>
          <w:sz w:val="20"/>
          <w:szCs w:val="20"/>
        </w:rPr>
        <w:t xml:space="preserve">КЛИЕНТА, НЕ ЯВЛЯЮЩЕГОСЯ КОНТРОЛИРУЮЩЕЙ ОРГАНИЗАЦИЕЙ, </w:t>
      </w:r>
      <w:r>
        <w:rPr>
          <w:b/>
          <w:bCs/>
          <w:sz w:val="20"/>
          <w:szCs w:val="20"/>
        </w:rPr>
      </w:r>
      <w:r>
        <w:rPr>
          <w:b/>
          <w:bCs/>
          <w:sz w:val="20"/>
          <w:szCs w:val="20"/>
        </w:rPr>
      </w:r>
    </w:p>
    <w:p>
      <w:pPr>
        <w:jc w:val="center"/>
        <w:widowControl w:val="off"/>
        <w:rPr>
          <w:b/>
          <w:bCs/>
          <w:sz w:val="20"/>
          <w:szCs w:val="20"/>
        </w:rPr>
      </w:pPr>
      <w:r>
        <w:rPr>
          <w:b/>
          <w:bCs/>
          <w:sz w:val="20"/>
          <w:szCs w:val="20"/>
        </w:rPr>
      </w:r>
      <w:r>
        <w:rPr>
          <w:b/>
          <w:bCs/>
          <w:sz w:val="20"/>
          <w:szCs w:val="20"/>
        </w:rPr>
        <w:t xml:space="preserve">О</w:t>
      </w:r>
      <w:r>
        <w:rPr>
          <w:b/>
          <w:bCs/>
          <w:sz w:val="20"/>
          <w:szCs w:val="20"/>
        </w:rPr>
        <w:t xml:space="preserve">Б ИЗМЕНЕНИИ ПАРАМЕТРОВ</w:t>
      </w:r>
      <w:r>
        <w:rPr>
          <w:b/>
          <w:bCs/>
          <w:sz w:val="20"/>
          <w:szCs w:val="20"/>
        </w:rPr>
        <w:t xml:space="preserve"> </w:t>
      </w:r>
      <w:r>
        <w:rPr>
          <w:b/>
          <w:bCs/>
          <w:sz w:val="20"/>
          <w:szCs w:val="20"/>
        </w:rPr>
        <w:t xml:space="preserve">К</w:t>
      </w:r>
      <w:r>
        <w:rPr>
          <w:b/>
          <w:bCs/>
          <w:sz w:val="20"/>
          <w:szCs w:val="20"/>
        </w:rPr>
        <w:t xml:space="preserve">ОНТРОЛЯ ЗА ПЛАТЕЖАМИ</w:t>
      </w:r>
      <w:r>
        <w:rPr>
          <w:b/>
          <w:bCs/>
          <w:sz w:val="20"/>
          <w:szCs w:val="20"/>
        </w:rPr>
        <w:t xml:space="preserve"> КЛИЕНТА</w:t>
      </w:r>
      <w:r>
        <w:rPr>
          <w:b/>
          <w:bCs/>
          <w:sz w:val="20"/>
          <w:szCs w:val="20"/>
        </w:rPr>
      </w:r>
      <w:r>
        <w:rPr>
          <w:b/>
          <w:bCs/>
          <w:sz w:val="20"/>
          <w:szCs w:val="20"/>
        </w:rPr>
      </w:r>
    </w:p>
    <w:p>
      <w:pPr>
        <w:pStyle w:val="973"/>
        <w:jc w:val="center"/>
        <w:widowControl w:val="off"/>
        <w:rPr>
          <w:b/>
          <w:bCs/>
          <w:sz w:val="18"/>
          <w:szCs w:val="18"/>
        </w:rPr>
      </w:pPr>
      <w:r>
        <w:rPr>
          <w:b/>
          <w:bCs/>
          <w:sz w:val="20"/>
          <w:szCs w:val="20"/>
        </w:rPr>
        <w:t xml:space="preserve"> </w:t>
      </w:r>
      <w:r>
        <w:rPr>
          <w:b/>
          <w:bCs/>
          <w:sz w:val="18"/>
          <w:szCs w:val="18"/>
        </w:rPr>
      </w:r>
      <w:r>
        <w:rPr>
          <w:b/>
          <w:bCs/>
          <w:sz w:val="18"/>
          <w:szCs w:val="18"/>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d9d9d9"/>
            <w:tcW w:w="9923" w:type="dxa"/>
            <w:vAlign w:val="top"/>
            <w:textDirection w:val="lrTb"/>
            <w:noWrap w:val="false"/>
          </w:tcPr>
          <w:p>
            <w:pPr>
              <w:pStyle w:val="1009"/>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КЛИЕНТЕ </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W w:w="3042" w:type="dxa"/>
            <w:vAlign w:val="top"/>
            <w:textDirection w:val="lrTb"/>
            <w:noWrap w:val="false"/>
          </w:tcPr>
          <w:p>
            <w:pPr>
              <w:pStyle w:val="973"/>
              <w:rPr>
                <w:iCs/>
                <w:sz w:val="18"/>
                <w:szCs w:val="18"/>
              </w:rPr>
            </w:pPr>
            <w:r>
              <w:rPr>
                <w:b/>
                <w:sz w:val="18"/>
                <w:szCs w:val="18"/>
              </w:rPr>
              <w:t xml:space="preserve">По</w:t>
            </w:r>
            <w:r>
              <w:rPr>
                <w:b/>
                <w:sz w:val="18"/>
                <w:szCs w:val="18"/>
              </w:rPr>
              <w:t xml:space="preserve">лное наименование </w:t>
            </w:r>
            <w:r>
              <w:rPr>
                <w:b/>
                <w:sz w:val="18"/>
                <w:szCs w:val="18"/>
              </w:rPr>
              <w:t xml:space="preserve">Клиента</w:t>
            </w:r>
            <w:r>
              <w:rPr>
                <w:b/>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W w:w="9923" w:type="dxa"/>
            <w:vAlign w:val="top"/>
            <w:textDirection w:val="lrTb"/>
            <w:noWrap w:val="false"/>
          </w:tcPr>
          <w:p>
            <w:pPr>
              <w:pStyle w:val="973"/>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Клиента-физического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3"/>
              <w:ind w:left="-254" w:firstLine="254"/>
              <w:spacing w:before="20" w:after="20"/>
              <w:rPr>
                <w:b/>
                <w:sz w:val="18"/>
                <w:szCs w:val="18"/>
              </w:rPr>
            </w:pPr>
            <w:r>
              <w:rPr>
                <w:b/>
                <w:sz w:val="18"/>
                <w:szCs w:val="18"/>
              </w:rPr>
              <w:t xml:space="preserve">Действующий на основании:   </w:t>
            </w:r>
            <w:r>
              <w:rPr>
                <w:b/>
                <w:sz w:val="18"/>
                <w:szCs w:val="18"/>
              </w:rPr>
            </w:r>
            <w:r>
              <w:rPr>
                <w:b/>
                <w:sz w:val="18"/>
                <w:szCs w:val="18"/>
              </w:rPr>
            </w:r>
          </w:p>
        </w:tc>
        <w:tc>
          <w:tcPr>
            <w:shd w:val="clear" w:color="auto" w:fill="ffffff"/>
            <w:tcW w:w="1720" w:type="dxa"/>
            <w:vAlign w:val="top"/>
            <w:textDirection w:val="lrTb"/>
            <w:noWrap w:val="false"/>
          </w:tcPr>
          <w:p>
            <w:pPr>
              <w:pStyle w:val="973"/>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W w:w="2123" w:type="dxa"/>
            <w:vAlign w:val="top"/>
            <w:textDirection w:val="lrTb"/>
            <w:noWrap w:val="false"/>
          </w:tcPr>
          <w:p>
            <w:pPr>
              <w:pStyle w:val="973"/>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W w:w="3038" w:type="dxa"/>
            <w:vAlign w:val="top"/>
            <w:textDirection w:val="lrTb"/>
            <w:noWrap w:val="false"/>
          </w:tcPr>
          <w:p>
            <w:pPr>
              <w:pStyle w:val="973"/>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3"/>
              <w:spacing w:before="20" w:after="20"/>
              <w:rPr>
                <w:b/>
                <w:sz w:val="18"/>
                <w:szCs w:val="18"/>
              </w:rPr>
            </w:pPr>
            <w:r>
              <w:rPr>
                <w:b/>
                <w:sz w:val="18"/>
                <w:szCs w:val="18"/>
              </w:rPr>
              <w:t xml:space="preserve">ИНН:     </w:t>
            </w:r>
            <w:r>
              <w:rPr>
                <w:b/>
                <w:sz w:val="18"/>
                <w:szCs w:val="18"/>
              </w:rPr>
            </w:r>
            <w:r>
              <w:rPr>
                <w:b/>
                <w:sz w:val="18"/>
                <w:szCs w:val="18"/>
              </w:rPr>
            </w:r>
          </w:p>
        </w:tc>
        <w:tc>
          <w:tcPr>
            <w:gridSpan w:val="3"/>
            <w:shd w:val="clear" w:color="auto" w:fill="ffffff"/>
            <w:tcW w:w="6881" w:type="dxa"/>
            <w:vAlign w:val="top"/>
            <w:textDirection w:val="lrTb"/>
            <w:noWrap w:val="false"/>
          </w:tcPr>
          <w:p>
            <w:pPr>
              <w:pStyle w:val="973"/>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3"/>
              <w:spacing w:before="20" w:after="20"/>
              <w:rPr>
                <w:b/>
                <w:sz w:val="18"/>
                <w:szCs w:val="18"/>
              </w:rPr>
            </w:pPr>
            <w:r>
              <w:rPr>
                <w:b/>
                <w:sz w:val="18"/>
                <w:szCs w:val="18"/>
              </w:rPr>
              <w:t xml:space="preserve">От имени К</w:t>
            </w:r>
            <w:r>
              <w:rPr>
                <w:b/>
                <w:sz w:val="18"/>
                <w:szCs w:val="18"/>
              </w:rPr>
              <w:t xml:space="preserve">лиент: Ф.И.О</w:t>
            </w:r>
            <w:r>
              <w:rPr>
                <w:b/>
                <w:sz w:val="18"/>
                <w:szCs w:val="18"/>
              </w:rPr>
            </w:r>
            <w:r>
              <w:rPr>
                <w:b/>
                <w:sz w:val="18"/>
                <w:szCs w:val="18"/>
              </w:rPr>
            </w:r>
          </w:p>
        </w:tc>
        <w:tc>
          <w:tcPr>
            <w:gridSpan w:val="3"/>
            <w:shd w:val="clear" w:color="auto" w:fill="ffffff"/>
            <w:tcW w:w="6881" w:type="dxa"/>
            <w:vAlign w:val="top"/>
            <w:textDirection w:val="lrTb"/>
            <w:noWrap w:val="false"/>
          </w:tcPr>
          <w:p>
            <w:pPr>
              <w:pStyle w:val="973"/>
              <w:spacing w:before="20" w:after="20"/>
              <w:rPr>
                <w:b/>
                <w:bCs/>
                <w:sz w:val="16"/>
                <w:szCs w:val="16"/>
              </w:rPr>
            </w:pPr>
            <w:r>
              <w:rPr>
                <w:b/>
                <w:bCs/>
                <w:sz w:val="16"/>
                <w:szCs w:val="16"/>
              </w:rPr>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973"/>
              <w:spacing w:before="20" w:after="20"/>
              <w:rPr>
                <w:b/>
                <w:sz w:val="18"/>
                <w:szCs w:val="18"/>
              </w:rPr>
            </w:pPr>
            <w:r>
              <w:rPr>
                <w:b/>
                <w:sz w:val="18"/>
                <w:szCs w:val="18"/>
              </w:rPr>
              <w:t xml:space="preserve">Номер(а) телефона </w:t>
            </w:r>
            <w:r>
              <w:rPr>
                <w:b/>
                <w:sz w:val="18"/>
                <w:szCs w:val="18"/>
              </w:rPr>
              <w:t xml:space="preserve">Клиента</w:t>
            </w:r>
            <w:r>
              <w:rPr>
                <w:b/>
                <w:sz w:val="18"/>
                <w:szCs w:val="18"/>
              </w:rPr>
              <w:t xml:space="preserve">:</w:t>
            </w:r>
            <w:r>
              <w:rPr>
                <w:b/>
                <w:sz w:val="18"/>
                <w:szCs w:val="18"/>
              </w:rPr>
            </w:r>
            <w:r>
              <w:rPr>
                <w:b/>
                <w:sz w:val="18"/>
                <w:szCs w:val="18"/>
              </w:rPr>
            </w:r>
          </w:p>
        </w:tc>
        <w:tc>
          <w:tcPr>
            <w:gridSpan w:val="2"/>
            <w:shd w:val="clear" w:color="auto" w:fill="ffffff"/>
            <w:tcW w:w="3843" w:type="dxa"/>
            <w:vAlign w:val="top"/>
            <w:textDirection w:val="lrTb"/>
            <w:noWrap w:val="false"/>
          </w:tcPr>
          <w:p>
            <w:pPr>
              <w:pStyle w:val="973"/>
              <w:spacing w:before="20" w:after="20"/>
              <w:rPr>
                <w:b/>
                <w:sz w:val="18"/>
                <w:szCs w:val="18"/>
              </w:rPr>
            </w:pPr>
            <w:r>
              <w:rPr>
                <w:b/>
                <w:sz w:val="18"/>
                <w:szCs w:val="18"/>
              </w:rPr>
              <w:t xml:space="preserve">+7</w:t>
            </w:r>
            <w:r>
              <w:rPr>
                <w:b/>
                <w:sz w:val="18"/>
                <w:szCs w:val="18"/>
              </w:rPr>
            </w:r>
            <w:r>
              <w:rPr>
                <w:b/>
                <w:sz w:val="18"/>
                <w:szCs w:val="18"/>
              </w:rPr>
            </w:r>
          </w:p>
        </w:tc>
        <w:tc>
          <w:tcPr>
            <w:shd w:val="clear" w:color="auto" w:fill="ffffff"/>
            <w:tcW w:w="3038" w:type="dxa"/>
            <w:vAlign w:val="top"/>
            <w:textDirection w:val="lrTb"/>
            <w:noWrap w:val="false"/>
          </w:tcPr>
          <w:p>
            <w:pPr>
              <w:pStyle w:val="973"/>
              <w:spacing w:before="20" w:after="20"/>
              <w:rPr>
                <w:b/>
                <w:bCs/>
                <w:sz w:val="16"/>
                <w:szCs w:val="16"/>
              </w:rPr>
            </w:pPr>
            <w:r>
              <w:rPr>
                <w:b/>
                <w:sz w:val="18"/>
                <w:szCs w:val="18"/>
              </w:rPr>
              <w:t xml:space="preserve">e-mail:</w:t>
            </w:r>
            <w:r>
              <w:rPr>
                <w:b/>
                <w:bCs/>
                <w:sz w:val="16"/>
                <w:szCs w:val="16"/>
              </w:rPr>
              <w:t xml:space="preserve">   </w:t>
            </w:r>
            <w:r>
              <w:rPr>
                <w:b/>
                <w:bCs/>
                <w:sz w:val="16"/>
                <w:szCs w:val="16"/>
              </w:rPr>
            </w:r>
            <w:r>
              <w:rPr>
                <w:b/>
                <w:bCs/>
                <w:sz w:val="16"/>
                <w:szCs w:val="16"/>
              </w:rPr>
            </w:r>
          </w:p>
        </w:tc>
      </w:tr>
    </w:tbl>
    <w:tbl>
      <w:tblPr>
        <w:tblpPr w:horzAnchor="text" w:tblpXSpec="center" w:vertAnchor="text" w:tblpY="1" w:leftFromText="180" w:topFromText="0" w:rightFromText="180" w:bottomFromText="0"/>
        <w:tblW w:w="98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94"/>
        <w:gridCol w:w="494"/>
        <w:gridCol w:w="494"/>
        <w:gridCol w:w="494"/>
        <w:gridCol w:w="260"/>
        <w:gridCol w:w="234"/>
        <w:gridCol w:w="494"/>
        <w:gridCol w:w="494"/>
        <w:gridCol w:w="494"/>
        <w:gridCol w:w="292"/>
        <w:gridCol w:w="203"/>
        <w:gridCol w:w="494"/>
        <w:gridCol w:w="475"/>
        <w:gridCol w:w="19"/>
        <w:gridCol w:w="494"/>
        <w:gridCol w:w="494"/>
        <w:gridCol w:w="494"/>
        <w:gridCol w:w="494"/>
        <w:gridCol w:w="199"/>
        <w:gridCol w:w="296"/>
        <w:gridCol w:w="143"/>
        <w:gridCol w:w="351"/>
        <w:gridCol w:w="494"/>
        <w:gridCol w:w="494"/>
        <w:gridCol w:w="4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25"/>
            <w:shd w:val="clear" w:color="auto" w:fill="d9d9d9"/>
            <w:tcW w:w="9889" w:type="dxa"/>
            <w:vAlign w:val="top"/>
            <w:textDirection w:val="lrTb"/>
            <w:noWrap w:val="false"/>
          </w:tcPr>
          <w:p>
            <w:pPr>
              <w:pStyle w:val="1009"/>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i/>
                <w:sz w:val="18"/>
                <w:szCs w:val="18"/>
              </w:rPr>
              <w:t xml:space="preserve">(отметить необходимое)</w:t>
            </w:r>
            <w:r>
              <w:rPr>
                <w:rStyle w:val="958"/>
                <w:rFonts w:ascii="Times New Roman" w:hAnsi="Times New Roman"/>
                <w:b/>
                <w:i/>
                <w:sz w:val="18"/>
                <w:szCs w:val="18"/>
              </w:rPr>
              <w:footnoteReference w:id="2"/>
            </w:r>
            <w:r>
              <w:rPr>
                <w:rFonts w:ascii="Times New Roman" w:hAnsi="Times New Roman"/>
                <w:b/>
                <w:sz w:val="18"/>
                <w:szCs w:val="18"/>
              </w:rPr>
              <w:t xml:space="preserve">:</w:t>
            </w:r>
            <w:r>
              <w:rPr>
                <w:rFonts w:ascii="Times New Roman" w:hAnsi="Times New Roman"/>
                <w:b/>
                <w:sz w:val="18"/>
                <w:szCs w:val="18"/>
              </w:rPr>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25"/>
            <w:shd w:val="clear" w:color="auto" w:fill="ffffff"/>
            <w:tcW w:w="9889" w:type="dxa"/>
            <w:vAlign w:val="top"/>
            <w:textDirection w:val="lrTb"/>
            <w:noWrap w:val="false"/>
          </w:tcPr>
          <w:p>
            <w:pPr>
              <w:pStyle w:val="1009"/>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rFonts w:ascii="Times New Roman" w:hAnsi="Times New Roman"/>
                <w:b/>
                <w:sz w:val="18"/>
                <w:szCs w:val="18"/>
              </w:rPr>
              <w:t xml:space="preserve">Прекратить 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 осуществление Контроля за платежами.Акцепт </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0"/>
            <w:shd w:val="clear" w:color="auto" w:fill="ffffff"/>
            <w:tcW w:w="4247" w:type="dxa"/>
            <w:vAlign w:val="top"/>
            <w:textDirection w:val="lrTb"/>
            <w:noWrap w:val="false"/>
          </w:tcPr>
          <w:p>
            <w:pPr>
              <w:pStyle w:val="1009"/>
              <w:ind w:left="29"/>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w:t>
            </w:r>
            <w:r>
              <w:rPr>
                <w:rFonts w:ascii="Times New Roman" w:hAnsi="Times New Roman"/>
                <w:b/>
                <w:bCs/>
                <w:iCs/>
                <w:sz w:val="18"/>
                <w:szCs w:val="18"/>
              </w:rPr>
            </w:r>
            <w:r>
              <w:rPr>
                <w:rFonts w:ascii="Times New Roman" w:hAnsi="Times New Roman"/>
                <w:b/>
                <w:bCs/>
                <w:iCs/>
                <w:sz w:val="18"/>
                <w:szCs w:val="18"/>
              </w:rPr>
            </w:r>
          </w:p>
          <w:p>
            <w:pPr>
              <w:pStyle w:val="1009"/>
              <w:ind w:left="29"/>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 с правом акцепта </w:t>
            </w:r>
            <w:r>
              <w:rPr>
                <w:rFonts w:ascii="Times New Roman" w:hAnsi="Times New Roman"/>
                <w:iCs/>
                <w:sz w:val="18"/>
                <w:szCs w:val="18"/>
              </w:rPr>
              <w:t xml:space="preserve">(полностью)</w:t>
            </w:r>
            <w:r>
              <w:rPr>
                <w:rFonts w:ascii="Times New Roman" w:hAnsi="Times New Roman"/>
                <w:sz w:val="18"/>
                <w:szCs w:val="18"/>
              </w:rPr>
            </w:r>
            <w:r>
              <w:rPr>
                <w:rFonts w:ascii="Times New Roman" w:hAnsi="Times New Roman"/>
                <w:sz w:val="18"/>
                <w:szCs w:val="18"/>
              </w:rPr>
            </w:r>
          </w:p>
        </w:tc>
        <w:tc>
          <w:tcPr>
            <w:gridSpan w:val="15"/>
            <w:shd w:val="clear" w:color="auto" w:fill="ffffff"/>
            <w:tcW w:w="5642" w:type="dxa"/>
            <w:vAlign w:val="top"/>
            <w:textDirection w:val="lrTb"/>
            <w:noWrap w:val="false"/>
          </w:tcPr>
          <w:p>
            <w:pPr>
              <w:pStyle w:val="973"/>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1009"/>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rPr>
          <w:trHeight w:val="858"/>
        </w:trPr>
        <w:tc>
          <w:tcPr>
            <w:gridSpan w:val="10"/>
            <w:shd w:val="clear" w:color="ffffff" w:fill="ffffff"/>
            <w:tcW w:w="4247" w:type="dxa"/>
            <w:vAlign w:val="top"/>
            <w:vMerge w:val="restart"/>
            <w:textDirection w:val="lrTb"/>
            <w:noWrap w:val="false"/>
          </w:tcPr>
          <w:p>
            <w:pPr>
              <w:pStyle w:val="1009"/>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r>
              <w:rPr>
                <w:rFonts w:ascii="Times New Roman" w:hAnsi="Times New Roman"/>
                <w:b/>
                <w:iCs/>
                <w:sz w:val="18"/>
                <w:szCs w:val="18"/>
              </w:rPr>
            </w:r>
          </w:p>
        </w:tc>
        <w:tc>
          <w:tcPr>
            <w:gridSpan w:val="15"/>
            <w:shd w:val="clear" w:color="ffffff" w:fill="ffffff"/>
            <w:tcW w:w="5642" w:type="dxa"/>
            <w:vAlign w:val="top"/>
            <w:vMerge w:val="restart"/>
            <w:textDirection w:val="lrTb"/>
            <w:noWrap w:val="false"/>
          </w:tcPr>
          <w:p>
            <w:pPr>
              <w:pStyle w:val="973"/>
              <w:ind w:left="180"/>
              <w:jc w:val="center"/>
              <w:rPr>
                <w:b/>
                <w:iCs/>
                <w:sz w:val="18"/>
                <w:szCs w:val="18"/>
              </w:rPr>
            </w:pPr>
            <w:r>
              <w:rPr>
                <w:b/>
                <w:iCs/>
                <w:sz w:val="18"/>
                <w:szCs w:val="18"/>
              </w:rPr>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3"/>
        </w:trPr>
        <w:tc>
          <w:tcPr>
            <w:gridSpan w:val="25"/>
            <w:shd w:val="clear" w:color="auto" w:fill="ffffff"/>
            <w:tcW w:w="9889" w:type="dxa"/>
            <w:vAlign w:val="top"/>
            <w:vMerge w:val="restart"/>
            <w:textDirection w:val="lrTb"/>
            <w:noWrap w:val="false"/>
          </w:tcPr>
          <w:p>
            <w:pPr>
              <w:rPr>
                <w:sz w:val="18"/>
                <w:szCs w:val="18"/>
                <w:highlight w:val="none"/>
              </w:rPr>
            </w:pPr>
            <w:r>
              <w:rPr>
                <w:sz w:val="18"/>
                <w:szCs w:val="18"/>
              </w:rPr>
              <w:t xml:space="preserve">по следующему(им) банковскому(им) счету(ам)</w:t>
            </w:r>
            <w:r>
              <w:rPr>
                <w:rStyle w:val="958"/>
                <w:sz w:val="18"/>
                <w:szCs w:val="18"/>
              </w:rPr>
              <w:footnoteReference w:id="3"/>
            </w:r>
            <w:r>
              <w:rPr>
                <w:sz w:val="18"/>
                <w:szCs w:val="18"/>
              </w:rPr>
              <w:t xml:space="preserve">:</w:t>
            </w:r>
            <w:r>
              <w:rPr>
                <w:sz w:val="18"/>
                <w:szCs w:val="18"/>
                <w:highlight w:val="none"/>
              </w:rPr>
            </w:r>
            <w:r>
              <w:rPr>
                <w:sz w:val="18"/>
                <w:szCs w:val="18"/>
                <w:highlight w:val="none"/>
              </w:rPr>
            </w:r>
          </w:p>
        </w:tc>
      </w:tr>
      <w:tr>
        <w:tblPrEx/>
        <w:trPr>
          <w:trHeight w:val="387"/>
        </w:trPr>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r>
      <w:tr>
        <w:tblPrEx/>
        <w:trPr>
          <w:trHeight w:val="415"/>
        </w:trPr>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gridSpan w:val="2"/>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c>
          <w:tcPr>
            <w:shd w:val="clear" w:color="ffffff" w:fill="ffffff"/>
            <w:tcW w:w="494" w:type="dxa"/>
            <w:vAlign w:val="top"/>
            <w:vMerge w:val="restart"/>
            <w:textDirection w:val="lrTb"/>
            <w:noWrap w:val="false"/>
          </w:tcPr>
          <w:p>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5"/>
            <w:shd w:val="clear" w:color="auto" w:fill="ffffff"/>
            <w:tcW w:w="9889" w:type="dxa"/>
            <w:vAlign w:val="top"/>
            <w:textDirection w:val="lrTb"/>
            <w:noWrap w:val="false"/>
          </w:tcPr>
          <w:p>
            <w:pPr>
              <w:pStyle w:val="973"/>
              <w:jc w:val="both"/>
              <w:rPr>
                <w:iCs/>
                <w:sz w:val="18"/>
                <w:szCs w:val="18"/>
              </w:rPr>
              <w:framePr w:hSpace="180" w:wrap="around" w:vAnchor="text" w:hAnchor="text" w:xAlign="center" w:y="1"/>
            </w:pPr>
            <w:r>
              <w:rPr>
                <w:rFonts w:ascii="Segoe UI Symbol" w:hAnsi="Segoe UI Symbol" w:cs="Segoe UI Symbol"/>
                <w:iCs/>
                <w:sz w:val="18"/>
                <w:szCs w:val="18"/>
              </w:rPr>
              <w:t xml:space="preserve">☐</w:t>
            </w:r>
            <w:r>
              <w:rPr>
                <w:iCs/>
                <w:sz w:val="18"/>
                <w:szCs w:val="18"/>
              </w:rPr>
              <w:t xml:space="preserve"> </w:t>
            </w:r>
            <w:r>
              <w:rPr>
                <w:b/>
              </w:rPr>
              <w:t xml:space="preserve"> </w:t>
            </w:r>
            <w:r>
              <w:rPr>
                <w:b/>
                <w:sz w:val="18"/>
                <w:szCs w:val="18"/>
              </w:rPr>
              <w:t xml:space="preserve">Предоставить </w:t>
            </w:r>
            <w:r>
              <w:rPr>
                <w:b/>
                <w:sz w:val="18"/>
                <w:szCs w:val="18"/>
              </w:rPr>
              <w:t xml:space="preserve"> с «___»</w:t>
            </w:r>
            <w:r>
              <w:rPr>
                <w:b/>
                <w:sz w:val="18"/>
                <w:szCs w:val="18"/>
              </w:rPr>
              <w:t xml:space="preserve"> </w:t>
            </w:r>
            <w:r>
              <w:rPr>
                <w:b/>
                <w:sz w:val="18"/>
                <w:szCs w:val="18"/>
              </w:rPr>
              <w:t xml:space="preserve">__________ 20___г</w:t>
            </w:r>
            <w:r>
              <w:rPr>
                <w:b/>
                <w:sz w:val="18"/>
                <w:szCs w:val="18"/>
              </w:rPr>
              <w:t xml:space="preserve">. Контроль за платежами.Акцепт </w:t>
            </w:r>
            <w:r>
              <w:rPr>
                <w:iCs/>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09"/>
        </w:trPr>
        <w:tc>
          <w:tcPr>
            <w:gridSpan w:val="25"/>
            <w:shd w:val="clear" w:color="auto" w:fill="ffffff"/>
            <w:tcW w:w="9889" w:type="dxa"/>
            <w:vAlign w:val="top"/>
            <w:textDirection w:val="lrTb"/>
            <w:noWrap w:val="false"/>
          </w:tcPr>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3402"/>
              <w:gridCol w:w="3544"/>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2"/>
                  <w:shd w:val="clear" w:color="auto" w:fill="ffffff"/>
                  <w:tcW w:w="4077" w:type="dxa"/>
                  <w:vAlign w:val="top"/>
                  <w:textDirection w:val="lrTb"/>
                  <w:noWrap w:val="false"/>
                </w:tcPr>
                <w:p>
                  <w:pPr>
                    <w:pStyle w:val="1009"/>
                    <w:ind w:left="29"/>
                    <w:jc w:val="center"/>
                    <w:spacing w:after="0"/>
                    <w:rPr>
                      <w:rFonts w:ascii="Times New Roman" w:hAnsi="Times New Roman"/>
                      <w:b/>
                      <w:bCs/>
                      <w:iCs/>
                      <w:sz w:val="18"/>
                      <w:szCs w:val="18"/>
                    </w:rPr>
                    <w:framePr w:hSpace="180" w:wrap="around" w:vAnchor="text" w:hAnchor="text" w:xAlign="center" w:y="1"/>
                  </w:pPr>
                  <w:r>
                    <w:rPr>
                      <w:rFonts w:ascii="Times New Roman" w:hAnsi="Times New Roman"/>
                      <w:b/>
                      <w:iCs/>
                      <w:sz w:val="18"/>
                      <w:szCs w:val="18"/>
                    </w:rPr>
                    <w:t xml:space="preserve">Ф.И.О. уполномоченного лица </w:t>
                  </w:r>
                  <w:r>
                    <w:rPr>
                      <w:rFonts w:ascii="Times New Roman" w:hAnsi="Times New Roman"/>
                      <w:b/>
                      <w:bCs/>
                      <w:iCs/>
                      <w:sz w:val="18"/>
                      <w:szCs w:val="18"/>
                    </w:rPr>
                  </w:r>
                  <w:r>
                    <w:rPr>
                      <w:rFonts w:ascii="Times New Roman" w:hAnsi="Times New Roman"/>
                      <w:b/>
                      <w:bCs/>
                      <w:iCs/>
                      <w:sz w:val="18"/>
                      <w:szCs w:val="18"/>
                    </w:rPr>
                  </w:r>
                </w:p>
                <w:p>
                  <w:pPr>
                    <w:pStyle w:val="1009"/>
                    <w:ind w:left="29"/>
                    <w:jc w:val="center"/>
                    <w:spacing w:after="0"/>
                    <w:rPr>
                      <w:rFonts w:ascii="Times New Roman" w:hAnsi="Times New Roman"/>
                      <w:sz w:val="18"/>
                      <w:szCs w:val="18"/>
                    </w:rPr>
                    <w:framePr w:hSpace="180" w:wrap="around" w:vAnchor="text" w:hAnchor="text" w:xAlign="center" w:y="1"/>
                  </w:pPr>
                  <w:r>
                    <w:rPr>
                      <w:rFonts w:ascii="Times New Roman" w:hAnsi="Times New Roman"/>
                      <w:b/>
                      <w:iCs/>
                      <w:sz w:val="18"/>
                      <w:szCs w:val="18"/>
                    </w:rPr>
                    <w:t xml:space="preserve">с право</w:t>
                  </w:r>
                  <w:r>
                    <w:rPr>
                      <w:rFonts w:ascii="Times New Roman" w:hAnsi="Times New Roman"/>
                      <w:b/>
                      <w:bCs/>
                      <w:iCs/>
                      <w:sz w:val="18"/>
                      <w:szCs w:val="18"/>
                    </w:rPr>
                    <w:t xml:space="preserve">м </w:t>
                  </w:r>
                  <w:r>
                    <w:rPr>
                      <w:rFonts w:ascii="Times New Roman" w:hAnsi="Times New Roman"/>
                      <w:b/>
                      <w:bCs/>
                      <w:iCs/>
                      <w:sz w:val="18"/>
                      <w:szCs w:val="18"/>
                    </w:rPr>
                    <w:t xml:space="preserve">акцепта </w:t>
                  </w:r>
                  <w:r>
                    <w:rPr>
                      <w:rFonts w:ascii="Times New Roman" w:hAnsi="Times New Roman"/>
                      <w:iCs/>
                      <w:sz w:val="18"/>
                      <w:szCs w:val="18"/>
                    </w:rPr>
                    <w:t xml:space="preserve">(полностью)</w:t>
                  </w:r>
                  <w:r>
                    <w:rPr>
                      <w:rFonts w:ascii="Times New Roman" w:hAnsi="Times New Roman"/>
                      <w:sz w:val="18"/>
                      <w:szCs w:val="18"/>
                    </w:rPr>
                  </w:r>
                  <w:r>
                    <w:rPr>
                      <w:rFonts w:ascii="Times New Roman" w:hAnsi="Times New Roman"/>
                      <w:sz w:val="18"/>
                      <w:szCs w:val="18"/>
                    </w:rPr>
                  </w:r>
                </w:p>
              </w:tc>
              <w:tc>
                <w:tcPr>
                  <w:gridSpan w:val="2"/>
                  <w:shd w:val="clear" w:color="auto" w:fill="ffffff"/>
                  <w:tcW w:w="5812" w:type="dxa"/>
                  <w:vAlign w:val="top"/>
                  <w:textDirection w:val="lrTb"/>
                  <w:noWrap w:val="false"/>
                </w:tcPr>
                <w:p>
                  <w:pPr>
                    <w:pStyle w:val="973"/>
                    <w:ind w:left="180"/>
                    <w:jc w:val="center"/>
                    <w:rPr>
                      <w:iCs/>
                      <w:sz w:val="18"/>
                      <w:szCs w:val="18"/>
                    </w:rPr>
                    <w:framePr w:hSpace="180" w:wrap="around" w:vAnchor="text" w:hAnchor="text" w:xAlign="center" w:y="1"/>
                  </w:pPr>
                  <w:r>
                    <w:rPr>
                      <w:b/>
                      <w:iCs/>
                      <w:sz w:val="18"/>
                      <w:szCs w:val="18"/>
                    </w:rPr>
                    <w:t xml:space="preserve">Паспортные данные</w:t>
                  </w:r>
                  <w:r>
                    <w:rPr>
                      <w:iCs/>
                      <w:sz w:val="18"/>
                      <w:szCs w:val="18"/>
                    </w:rPr>
                  </w:r>
                  <w:r>
                    <w:rPr>
                      <w:iCs/>
                      <w:sz w:val="18"/>
                      <w:szCs w:val="18"/>
                    </w:rPr>
                  </w:r>
                </w:p>
                <w:p>
                  <w:pPr>
                    <w:pStyle w:val="1009"/>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9"/>
              </w:trPr>
              <w:tc>
                <w:tcPr>
                  <w:gridSpan w:val="2"/>
                  <w:shd w:val="clear" w:color="auto" w:fill="ffffff"/>
                  <w:tcW w:w="4077" w:type="dxa"/>
                  <w:vAlign w:val="top"/>
                  <w:vMerge w:val="restart"/>
                  <w:textDirection w:val="lrTb"/>
                  <w:noWrap w:val="false"/>
                </w:tcPr>
                <w:p>
                  <w:pPr>
                    <w:pStyle w:val="973"/>
                    <w:ind w:left="180"/>
                    <w:jc w:val="center"/>
                    <w:rPr>
                      <w:b/>
                      <w:iCs/>
                      <w:sz w:val="18"/>
                      <w:szCs w:val="18"/>
                    </w:rPr>
                    <w:framePr w:hSpace="180" w:wrap="around" w:vAnchor="text" w:hAnchor="text" w:xAlign="center" w:y="1"/>
                  </w:pPr>
                  <w:r>
                    <w:rPr>
                      <w:b/>
                      <w:iCs/>
                      <w:sz w:val="18"/>
                      <w:szCs w:val="18"/>
                    </w:rPr>
                  </w:r>
                  <w:r>
                    <w:rPr>
                      <w:b/>
                      <w:iCs/>
                      <w:sz w:val="18"/>
                      <w:szCs w:val="18"/>
                    </w:rPr>
                  </w:r>
                  <w:r>
                    <w:rPr>
                      <w:b/>
                      <w:iCs/>
                      <w:sz w:val="18"/>
                      <w:szCs w:val="18"/>
                    </w:rPr>
                  </w:r>
                </w:p>
              </w:tc>
              <w:tc>
                <w:tcPr>
                  <w:gridSpan w:val="2"/>
                  <w:shd w:val="clear" w:color="auto" w:fill="ffffff"/>
                  <w:tcW w:w="5812" w:type="dxa"/>
                  <w:vAlign w:val="top"/>
                  <w:vMerge w:val="restart"/>
                  <w:textDirection w:val="lrTb"/>
                  <w:noWrap w:val="false"/>
                </w:tcPr>
                <w:p>
                  <w:r/>
                  <w:r/>
                </w:p>
              </w:tc>
            </w:tr>
          </w:tbl>
          <w:p>
            <w:r>
              <w:rPr>
                <w:sz w:val="18"/>
                <w:szCs w:val="18"/>
              </w:rPr>
              <w:t xml:space="preserve">по следующему(им) банковскому(им) счету(ам)</w:t>
            </w:r>
            <w:r>
              <w:rPr>
                <w:rStyle w:val="958"/>
                <w:sz w:val="18"/>
                <w:szCs w:val="18"/>
              </w:rPr>
              <w:footnoteReference w:id="4"/>
            </w:r>
            <w:r>
              <w:rPr>
                <w:sz w:val="18"/>
                <w:szCs w:val="18"/>
              </w:rPr>
              <w:t xml:space="preserve"> </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6"/>
        </w:trPr>
        <w:tc>
          <w:tcPr>
            <w:shd w:val="clear" w:color="auto"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gridSpan w:val="2"/>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c>
          <w:tcPr>
            <w:shd w:val="clear" w:color="ffffff" w:fill="ffffff"/>
            <w:tcW w:w="494" w:type="dxa"/>
            <w:vAlign w:val="top"/>
            <w:textDirection w:val="lrTb"/>
            <w:noWrap w:val="false"/>
          </w:tcPr>
          <w:p>
            <w:r/>
            <w:r/>
          </w:p>
        </w:tc>
      </w:tr>
      <w:tr>
        <w:tblPrEx/>
        <w:trPr>
          <w:trHeight w:val="276"/>
        </w:trPr>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gridSpan w:val="2"/>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c>
          <w:tcPr>
            <w:shd w:val="clear" w:color="ffffff" w:fill="ffffff"/>
            <w:tcBorders>
              <w:bottom w:val="single" w:color="000000" w:sz="4" w:space="0"/>
            </w:tcBorders>
            <w:tcW w:w="494" w:type="dxa"/>
            <w:vAlign w:val="top"/>
            <w:textDirection w:val="lrTb"/>
            <w:noWrap w:val="false"/>
          </w:tcPr>
          <w:p>
            <w:r/>
            <w:r/>
          </w:p>
        </w:tc>
      </w:tr>
      <w:tr>
        <w:tblPrEx/>
        <w:trPr>
          <w:trHeight w:val="96"/>
        </w:trPr>
        <w:tc>
          <w:tcPr>
            <w:gridSpan w:val="25"/>
            <w:shd w:val="clear" w:color="ffffff" w:fill="d9d9d9"/>
            <w:tcBorders>
              <w:top w:val="single" w:color="000000" w:sz="4" w:space="0"/>
              <w:left w:val="single" w:color="000000" w:sz="4" w:space="0"/>
              <w:bottom w:val="single" w:color="000000" w:sz="4" w:space="0"/>
              <w:right w:val="single" w:color="000000" w:sz="4" w:space="0"/>
            </w:tcBorders>
            <w:tcW w:w="9889" w:type="dxa"/>
            <w:vAlign w:val="top"/>
            <w:vMerge w:val="restart"/>
            <w:textDirection w:val="lrTb"/>
            <w:noWrap w:val="false"/>
          </w:tcPr>
          <w:p>
            <w:pPr>
              <w:pStyle w:val="1009"/>
              <w:ind w:left="29"/>
              <w:jc w:val="both"/>
              <w:spacing w:after="0"/>
              <w:rPr>
                <w:rFonts w:ascii="Times New Roman" w:hAnsi="Times New Roman" w:eastAsia="Times New Roman" w:cs="Times New Roman"/>
                <w:sz w:val="22"/>
                <w:szCs w:val="22"/>
                <w:highlight w:val="none"/>
                <w14:ligatures w14:val="none"/>
              </w:rPr>
              <w:framePr w:hSpace="180" w:wrap="around" w:vAnchor="text" w:hAnchor="text" w:xAlign="center" w:y="1"/>
            </w:pPr>
            <w:r>
              <w:rPr>
                <w:rFonts w:ascii="Times New Roman" w:hAnsi="Times New Roman" w:eastAsia="Times New Roman" w:cs="Times New Roman"/>
                <w:b/>
                <w:sz w:val="18"/>
                <w:szCs w:val="18"/>
              </w:rPr>
            </w:r>
            <w:r>
              <w:rPr>
                <w:rFonts w:ascii="Times New Roman" w:hAnsi="Times New Roman" w:eastAsia="Times New Roman" w:cs="Times New Roman"/>
                <w:sz w:val="22"/>
                <w:szCs w:val="22"/>
              </w:rPr>
              <w:t xml:space="preserve">Настоящим поручаем/поручаю </w:t>
            </w:r>
            <w:r>
              <w:rPr>
                <w:rFonts w:ascii="Times New Roman" w:hAnsi="Times New Roman" w:eastAsia="Times New Roman" w:cs="Times New Roman"/>
                <w:sz w:val="22"/>
                <w:szCs w:val="22"/>
              </w:rPr>
              <w:t xml:space="preserve">АО «Россельхозбанк» (далее - </w:t>
            </w:r>
            <w:r>
              <w:rPr>
                <w:rFonts w:ascii="Times New Roman" w:hAnsi="Times New Roman" w:eastAsia="Times New Roman" w:cs="Times New Roman"/>
                <w:sz w:val="22"/>
                <w:szCs w:val="22"/>
              </w:rPr>
              <w:t xml:space="preserve">Банк</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принимать к исполнению </w:t>
            </w:r>
            <w:r>
              <w:rPr>
                <w:rFonts w:ascii="Times New Roman" w:hAnsi="Times New Roman" w:eastAsia="Times New Roman" w:cs="Times New Roman"/>
                <w:sz w:val="22"/>
                <w:szCs w:val="22"/>
              </w:rPr>
              <w:t xml:space="preserve">электронные платежные документы (далее - </w:t>
            </w:r>
            <w:r>
              <w:rPr>
                <w:rFonts w:ascii="Times New Roman" w:hAnsi="Times New Roman" w:eastAsia="Times New Roman" w:cs="Times New Roman"/>
                <w:sz w:val="22"/>
                <w:szCs w:val="22"/>
              </w:rPr>
              <w:t xml:space="preserve">ЭПД</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rPr>
              <w:t xml:space="preserve">, не содержащие </w:t>
            </w:r>
            <w:r>
              <w:rPr>
                <w:rFonts w:ascii="Times New Roman" w:hAnsi="Times New Roman" w:eastAsia="Times New Roman" w:cs="Times New Roman"/>
                <w:sz w:val="22"/>
                <w:szCs w:val="22"/>
              </w:rPr>
              <w:t xml:space="preserve">акцепта </w:t>
            </w:r>
            <w:r>
              <w:rPr>
                <w:rFonts w:ascii="Times New Roman" w:hAnsi="Times New Roman" w:eastAsia="Times New Roman" w:cs="Times New Roman"/>
                <w:sz w:val="22"/>
                <w:szCs w:val="22"/>
              </w:rPr>
              <w:t xml:space="preserve">лица с правом акцепта, и осуществлять ведение счета(ов) и совершение операций по счету(ам)</w:t>
            </w:r>
            <w:r>
              <w:rPr>
                <w:rFonts w:ascii="Times New Roman" w:hAnsi="Times New Roman" w:eastAsia="Times New Roman" w:cs="Times New Roman"/>
                <w:sz w:val="22"/>
                <w:szCs w:val="22"/>
              </w:rPr>
              <w:t xml:space="preserve"> в отношении которого(ых) установлен </w:t>
            </w:r>
            <w:r>
              <w:rPr>
                <w:rFonts w:ascii="Times New Roman" w:hAnsi="Times New Roman" w:eastAsia="Times New Roman" w:cs="Times New Roman"/>
                <w:sz w:val="22"/>
                <w:szCs w:val="22"/>
              </w:rPr>
              <w:t xml:space="preserve">К</w:t>
            </w:r>
            <w:r>
              <w:rPr>
                <w:rFonts w:ascii="Times New Roman" w:hAnsi="Times New Roman" w:eastAsia="Times New Roman" w:cs="Times New Roman"/>
                <w:sz w:val="22"/>
                <w:szCs w:val="22"/>
              </w:rPr>
              <w:t xml:space="preserve">онтрол</w:t>
            </w:r>
            <w:r>
              <w:rPr>
                <w:rFonts w:ascii="Times New Roman" w:hAnsi="Times New Roman" w:eastAsia="Times New Roman" w:cs="Times New Roman"/>
                <w:sz w:val="22"/>
                <w:szCs w:val="22"/>
              </w:rPr>
              <w:t xml:space="preserve">ь</w:t>
            </w:r>
            <w:r>
              <w:rPr>
                <w:rFonts w:ascii="Times New Roman" w:hAnsi="Times New Roman" w:eastAsia="Times New Roman" w:cs="Times New Roman"/>
                <w:sz w:val="22"/>
                <w:szCs w:val="22"/>
              </w:rPr>
              <w:t xml:space="preserve"> за платежами</w:t>
            </w:r>
            <w:r>
              <w:rPr>
                <w:rFonts w:ascii="Times New Roman" w:hAnsi="Times New Roman" w:eastAsia="Times New Roman" w:cs="Times New Roman"/>
                <w:sz w:val="22"/>
                <w:szCs w:val="22"/>
              </w:rPr>
              <w:t xml:space="preserve">.Акцепт</w:t>
            </w:r>
            <w:r>
              <w:rPr>
                <w:rFonts w:ascii="Times New Roman" w:hAnsi="Times New Roman" w:eastAsia="Times New Roman" w:cs="Times New Roman"/>
                <w:sz w:val="22"/>
                <w:szCs w:val="22"/>
              </w:rPr>
              <w:t xml:space="preserve"> с учетом настоящего заявления</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Настоящее поручение </w:t>
            </w:r>
            <w:r>
              <w:rPr>
                <w:rFonts w:ascii="Times New Roman" w:hAnsi="Times New Roman" w:eastAsia="Times New Roman" w:cs="Times New Roman"/>
                <w:sz w:val="22"/>
                <w:szCs w:val="22"/>
              </w:rPr>
              <w:t xml:space="preserve">действует до момента </w:t>
            </w:r>
            <w:r>
              <w:rPr>
                <w:rFonts w:ascii="Times New Roman" w:hAnsi="Times New Roman" w:eastAsia="Times New Roman" w:cs="Times New Roman"/>
                <w:sz w:val="22"/>
                <w:szCs w:val="22"/>
              </w:rPr>
              <w:t xml:space="preserve">отключения Контроля за платежами.Акцепт/</w:t>
            </w:r>
            <w:r>
              <w:rPr>
                <w:rFonts w:ascii="Times New Roman" w:hAnsi="Times New Roman" w:eastAsia="Times New Roman" w:cs="Times New Roman"/>
                <w:sz w:val="22"/>
                <w:szCs w:val="22"/>
              </w:rPr>
              <w:t xml:space="preserve">закрытия соответствующего счета (в зависимости от того, какое</w:t>
            </w:r>
            <w:r>
              <w:rPr>
                <w:rFonts w:ascii="Times New Roman" w:hAnsi="Times New Roman" w:eastAsia="Times New Roman" w:cs="Times New Roman"/>
                <w:sz w:val="24"/>
                <w:szCs w:val="24"/>
              </w:rPr>
              <w:t xml:space="preserve"> из событий наступит ранее). Настоящее поручение </w:t>
            </w:r>
            <w:r>
              <w:rPr>
                <w:rFonts w:ascii="Times New Roman" w:hAnsi="Times New Roman" w:eastAsia="Times New Roman" w:cs="Times New Roman"/>
                <w:sz w:val="24"/>
                <w:szCs w:val="24"/>
              </w:rPr>
              <w:t xml:space="preserve">приостанавливает свое действие на период приостановления Контроля за платежами.Акцепт </w:t>
            </w:r>
            <w:r>
              <w:rPr>
                <w:rFonts w:ascii="Times New Roman" w:hAnsi="Times New Roman" w:eastAsia="Times New Roman" w:cs="Times New Roman"/>
                <w:sz w:val="24"/>
                <w:szCs w:val="24"/>
              </w:rPr>
              <w:t xml:space="preserve">в случа</w:t>
            </w:r>
            <w:r>
              <w:rPr>
                <w:rFonts w:ascii="Times New Roman" w:hAnsi="Times New Roman" w:eastAsia="Times New Roman" w:cs="Times New Roman"/>
                <w:sz w:val="24"/>
                <w:szCs w:val="24"/>
              </w:rPr>
              <w:t xml:space="preserve">ях, </w:t>
            </w:r>
            <w:r>
              <w:rPr>
                <w:rFonts w:ascii="Times New Roman" w:hAnsi="Times New Roman" w:eastAsia="Times New Roman" w:cs="Times New Roman"/>
                <w:sz w:val="24"/>
                <w:szCs w:val="24"/>
              </w:rPr>
              <w:t xml:space="preserve">установленных Условиями дистанционного банковского обслуживания</w:t>
            </w:r>
            <w:r>
              <w:rPr>
                <w:rStyle w:val="958"/>
                <w:rFonts w:ascii="Times New Roman" w:hAnsi="Times New Roman" w:eastAsia="Times New Roman" w:cs="Times New Roman"/>
                <w:sz w:val="24"/>
                <w:szCs w:val="24"/>
              </w:rPr>
              <w:footnoteReference w:id="5"/>
            </w:r>
            <w:r>
              <w:rPr>
                <w:rFonts w:ascii="Times New Roman" w:hAnsi="Times New Roman" w:eastAsia="Times New Roman" w:cs="Times New Roman"/>
                <w:sz w:val="24"/>
                <w:szCs w:val="24"/>
              </w:rPr>
              <w:t xml:space="preserve"> и </w:t>
            </w:r>
            <w:r>
              <w:rPr>
                <w:rFonts w:ascii="Times New Roman" w:hAnsi="Times New Roman" w:eastAsia="Times New Roman" w:cs="Times New Roman"/>
                <w:b w:val="0"/>
                <w:bCs w:val="0"/>
                <w:sz w:val="24"/>
                <w:szCs w:val="24"/>
              </w:rPr>
              <w:t xml:space="preserve">Тарифами Банка</w:t>
            </w:r>
            <w:r>
              <w:rPr>
                <w:rStyle w:val="958"/>
                <w:rFonts w:ascii="Times New Roman" w:hAnsi="Times New Roman" w:eastAsia="Times New Roman" w:cs="Times New Roman"/>
                <w:b w:val="0"/>
                <w:bCs w:val="0"/>
                <w:sz w:val="24"/>
                <w:szCs w:val="24"/>
              </w:rPr>
              <w:footnoteReference w:id="6"/>
            </w:r>
            <w:r>
              <w:rPr>
                <w:rStyle w:val="958"/>
                <w:rFonts w:ascii="Times New Roman" w:hAnsi="Times New Roman" w:eastAsia="Times New Roman" w:cs="Times New Roman"/>
                <w:b w:val="0"/>
                <w:bCs w:val="0"/>
                <w:sz w:val="24"/>
                <w:szCs w:val="24"/>
                <w:vertAlign w:val="baseline"/>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 том числе, по причине неупл</w:t>
            </w:r>
            <w:r>
              <w:rPr>
                <w:rFonts w:ascii="Times New Roman" w:hAnsi="Times New Roman" w:eastAsia="Times New Roman" w:cs="Times New Roman"/>
                <w:sz w:val="22"/>
                <w:szCs w:val="22"/>
              </w:rPr>
              <w:t xml:space="preserve">аты </w:t>
            </w:r>
            <w:r>
              <w:rPr>
                <w:rFonts w:ascii="Times New Roman" w:hAnsi="Times New Roman" w:eastAsia="Times New Roman" w:cs="Times New Roman"/>
                <w:sz w:val="22"/>
                <w:szCs w:val="22"/>
              </w:rPr>
              <w:t xml:space="preserve">Клиентом </w:t>
            </w:r>
            <w:r>
              <w:rPr>
                <w:rFonts w:ascii="Times New Roman" w:hAnsi="Times New Roman" w:eastAsia="Times New Roman" w:cs="Times New Roman"/>
                <w:sz w:val="22"/>
                <w:szCs w:val="22"/>
              </w:rPr>
              <w:t xml:space="preserve">комиссионного вознаграждения Банку</w:t>
            </w:r>
            <w:r>
              <w:rPr>
                <w:rFonts w:ascii="Times New Roman" w:hAnsi="Times New Roman" w:eastAsia="Times New Roman" w:cs="Times New Roman"/>
                <w:sz w:val="22"/>
                <w:szCs w:val="22"/>
              </w:rPr>
              <w:t xml:space="preserve"> за </w:t>
            </w:r>
            <w:r>
              <w:rPr>
                <w:rFonts w:ascii="Times New Roman" w:hAnsi="Times New Roman" w:eastAsia="Times New Roman" w:cs="Times New Roman"/>
                <w:sz w:val="22"/>
                <w:szCs w:val="22"/>
              </w:rPr>
              <w:t xml:space="preserve">Контроль за платежами.Акцепт</w:t>
            </w:r>
            <w:r>
              <w:rPr>
                <w:rFonts w:ascii="Times New Roman" w:hAnsi="Times New Roman" w:eastAsia="Times New Roman" w:cs="Times New Roman"/>
                <w:sz w:val="22"/>
                <w:szCs w:val="22"/>
              </w:rPr>
              <w:t xml:space="preserve">.</w:t>
            </w:r>
            <w:r>
              <w:rPr>
                <w:rFonts w:ascii="Times New Roman" w:hAnsi="Times New Roman" w:eastAsia="Times New Roman" w:cs="Times New Roman"/>
                <w:sz w:val="22"/>
                <w:szCs w:val="22"/>
                <w:highlight w:val="none"/>
                <w14:ligatures w14:val="none"/>
              </w:rPr>
            </w:r>
            <w:r>
              <w:rPr>
                <w:rFonts w:ascii="Times New Roman" w:hAnsi="Times New Roman" w:eastAsia="Times New Roman" w:cs="Times New Roman"/>
                <w:sz w:val="22"/>
                <w:szCs w:val="22"/>
                <w:highlight w:val="none"/>
                <w14:ligatures w14:val="none"/>
              </w:rPr>
            </w:r>
          </w:p>
          <w:p>
            <w:pPr>
              <w:pStyle w:val="1009"/>
              <w:ind w:left="29"/>
              <w:jc w:val="both"/>
              <w:spacing w:after="0"/>
              <w:rPr>
                <w:rFonts w:ascii="Times New Roman" w:hAnsi="Times New Roman" w:eastAsia="Times New Roman" w:cs="Times New Roman"/>
                <w:b/>
                <w:bCs/>
                <w:sz w:val="18"/>
                <w:szCs w:val="18"/>
                <w14:ligatures w14:val="none"/>
              </w:rPr>
              <w:framePr w:hSpace="180" w:wrap="around" w:vAnchor="text" w:hAnchor="text" w:xAlign="center" w:y="1"/>
            </w:pPr>
            <w:r>
              <w:rPr>
                <w:rFonts w:ascii="Times New Roman" w:hAnsi="Times New Roman" w:eastAsia="Times New Roman" w:cs="Times New Roman"/>
                <w:sz w:val="22"/>
                <w:szCs w:val="22"/>
                <w:highlight w:val="none"/>
              </w:rPr>
              <w:t xml:space="preserve">Ранее данное поручение </w:t>
            </w:r>
            <w:r>
              <w:rPr>
                <w:rFonts w:ascii="Times New Roman" w:hAnsi="Times New Roman" w:eastAsia="Times New Roman" w:cs="Times New Roman"/>
                <w:sz w:val="22"/>
                <w:szCs w:val="22"/>
                <w:highlight w:val="none"/>
              </w:rPr>
              <w:t xml:space="preserve">просим считать измененным на вышеизложенных условиях.</w:t>
            </w:r>
            <w:r>
              <w:rPr>
                <w:rFonts w:ascii="Times New Roman" w:hAnsi="Times New Roman" w:eastAsia="Times New Roman" w:cs="Times New Roman"/>
                <w:b/>
                <w:bCs/>
                <w:sz w:val="18"/>
                <w:szCs w:val="18"/>
                <w14:ligatures w14:val="none"/>
              </w:rPr>
            </w:r>
            <w:r>
              <w:rPr>
                <w:rFonts w:ascii="Times New Roman" w:hAnsi="Times New Roman" w:eastAsia="Times New Roman" w:cs="Times New Roman"/>
                <w:b/>
                <w:bCs/>
                <w:sz w:val="18"/>
                <w:szCs w:val="18"/>
                <w14:ligatures w14:val="none"/>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13"/>
            <w:shd w:val="clear" w:color="auto" w:fill="d9d9d9"/>
            <w:tcBorders>
              <w:top w:val="single" w:color="000000" w:sz="4" w:space="0"/>
            </w:tcBorders>
            <w:tcW w:w="5420" w:type="dxa"/>
            <w:vAlign w:val="top"/>
            <w:textDirection w:val="lrTb"/>
            <w:noWrap w:val="false"/>
          </w:tcPr>
          <w:p>
            <w:pPr>
              <w:pStyle w:val="1009"/>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ЗАПОЛНЯЕТСЯ </w:t>
            </w:r>
            <w:r>
              <w:rPr>
                <w:rFonts w:ascii="Times New Roman" w:hAnsi="Times New Roman" w:eastAsia="Times New Roman"/>
                <w:b/>
                <w:sz w:val="18"/>
                <w:szCs w:val="18"/>
              </w:rPr>
              <w:t xml:space="preserve">КЛИЕНТОМ</w:t>
            </w:r>
            <w:r>
              <w:rPr>
                <w:rFonts w:ascii="Times New Roman" w:hAnsi="Times New Roman"/>
                <w:iCs/>
                <w:sz w:val="18"/>
                <w:szCs w:val="18"/>
              </w:rPr>
            </w:r>
            <w:r>
              <w:rPr>
                <w:rFonts w:ascii="Times New Roman" w:hAnsi="Times New Roman"/>
                <w:iCs/>
                <w:sz w:val="18"/>
                <w:szCs w:val="18"/>
              </w:rPr>
            </w:r>
          </w:p>
        </w:tc>
        <w:tc>
          <w:tcPr>
            <w:gridSpan w:val="12"/>
            <w:shd w:val="clear" w:color="auto" w:fill="d9d9d9"/>
            <w:tcBorders>
              <w:top w:val="single" w:color="000000" w:sz="4" w:space="0"/>
            </w:tcBorders>
            <w:tcW w:w="4469" w:type="dxa"/>
            <w:vAlign w:val="top"/>
            <w:textDirection w:val="lrTb"/>
            <w:noWrap w:val="false"/>
          </w:tcPr>
          <w:p>
            <w:pPr>
              <w:pStyle w:val="1009"/>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5"/>
            <w:shd w:val="clear" w:color="auto" w:fill="ffffff"/>
            <w:tcW w:w="2238" w:type="dxa"/>
            <w:vAlign w:val="top"/>
            <w:textDirection w:val="lrTb"/>
            <w:noWrap w:val="false"/>
          </w:tcPr>
          <w:p>
            <w:pPr>
              <w:pStyle w:val="1009"/>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82" w:type="dxa"/>
            <w:vAlign w:val="top"/>
            <w:textDirection w:val="lrTb"/>
            <w:noWrap w:val="false"/>
          </w:tcPr>
          <w:p>
            <w:pPr>
              <w:pStyle w:val="1009"/>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196" w:type="dxa"/>
            <w:vAlign w:val="top"/>
            <w:textDirection w:val="lrTb"/>
            <w:noWrap w:val="false"/>
          </w:tcPr>
          <w:p>
            <w:pPr>
              <w:pStyle w:val="1009"/>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273" w:type="dxa"/>
            <w:vAlign w:val="top"/>
            <w:textDirection w:val="lrTb"/>
            <w:noWrap w:val="false"/>
          </w:tcPr>
          <w:p>
            <w:pPr>
              <w:pStyle w:val="1009"/>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5"/>
            <w:shd w:val="clear" w:color="auto" w:fill="ffffff"/>
            <w:tcW w:w="2238" w:type="dxa"/>
            <w:vAlign w:val="top"/>
            <w:textDirection w:val="lrTb"/>
            <w:noWrap w:val="false"/>
          </w:tcPr>
          <w:p>
            <w:pPr>
              <w:pStyle w:val="1009"/>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82" w:type="dxa"/>
            <w:vAlign w:val="top"/>
            <w:textDirection w:val="lrTb"/>
            <w:noWrap w:val="false"/>
          </w:tcPr>
          <w:p>
            <w:pPr>
              <w:pStyle w:val="1009"/>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196" w:type="dxa"/>
            <w:vAlign w:val="top"/>
            <w:textDirection w:val="lrTb"/>
            <w:noWrap w:val="false"/>
          </w:tcPr>
          <w:p>
            <w:pPr>
              <w:pStyle w:val="1009"/>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273" w:type="dxa"/>
            <w:vAlign w:val="top"/>
            <w:textDirection w:val="lrTb"/>
            <w:noWrap w:val="false"/>
          </w:tcPr>
          <w:p>
            <w:pPr>
              <w:pStyle w:val="1009"/>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5"/>
            <w:shd w:val="clear" w:color="auto" w:fill="ffffff"/>
            <w:tcW w:w="2238" w:type="dxa"/>
            <w:vAlign w:val="top"/>
            <w:textDirection w:val="lrTb"/>
            <w:noWrap w:val="false"/>
          </w:tcPr>
          <w:p>
            <w:pPr>
              <w:pStyle w:val="1009"/>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8"/>
            <w:shd w:val="clear" w:color="auto" w:fill="ffffff"/>
            <w:tcW w:w="3182" w:type="dxa"/>
            <w:vAlign w:val="top"/>
            <w:textDirection w:val="lrTb"/>
            <w:noWrap w:val="false"/>
          </w:tcPr>
          <w:p>
            <w:pPr>
              <w:pStyle w:val="1009"/>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196" w:type="dxa"/>
            <w:vAlign w:val="top"/>
            <w:textDirection w:val="lrTb"/>
            <w:noWrap w:val="false"/>
          </w:tcPr>
          <w:p>
            <w:pPr>
              <w:pStyle w:val="1009"/>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6"/>
            <w:shd w:val="clear" w:color="auto" w:fill="ffffff"/>
            <w:tcW w:w="2273" w:type="dxa"/>
            <w:vAlign w:val="top"/>
            <w:textDirection w:val="lrTb"/>
            <w:noWrap w:val="false"/>
          </w:tcPr>
          <w:p>
            <w:pPr>
              <w:pStyle w:val="1009"/>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3"/>
            <w:shd w:val="clear" w:color="auto" w:fill="ffffff"/>
            <w:tcW w:w="5420" w:type="dxa"/>
            <w:vAlign w:val="top"/>
            <w:textDirection w:val="lrTb"/>
            <w:noWrap w:val="false"/>
          </w:tcPr>
          <w:p>
            <w:pPr>
              <w:pStyle w:val="1009"/>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12"/>
            <w:shd w:val="clear" w:color="auto" w:fill="ffffff"/>
            <w:tcW w:w="4469" w:type="dxa"/>
            <w:vAlign w:val="top"/>
            <w:textDirection w:val="lrTb"/>
            <w:noWrap w:val="false"/>
          </w:tcPr>
          <w:p>
            <w:pPr>
              <w:pStyle w:val="1009"/>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2"/>
        </w:trPr>
        <w:tc>
          <w:tcPr>
            <w:gridSpan w:val="13"/>
            <w:shd w:val="clear" w:color="auto" w:fill="ffffff"/>
            <w:tcW w:w="5420" w:type="dxa"/>
            <w:vAlign w:val="top"/>
            <w:textDirection w:val="lrTb"/>
            <w:noWrap w:val="false"/>
          </w:tcPr>
          <w:p>
            <w:pPr>
              <w:pStyle w:val="1009"/>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8"/>
            <w:shd w:val="clear" w:color="auto" w:fill="ffffff"/>
            <w:tcW w:w="2635" w:type="dxa"/>
            <w:vAlign w:val="top"/>
            <w:textDirection w:val="lrTb"/>
            <w:noWrap w:val="false"/>
          </w:tcPr>
          <w:p>
            <w:pPr>
              <w:pStyle w:val="1009"/>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w:t>
            </w:r>
            <w:r>
              <w:rPr>
                <w:rFonts w:ascii="Times New Roman" w:hAnsi="Times New Roman" w:eastAsia="Times New Roman"/>
                <w:sz w:val="18"/>
                <w:szCs w:val="18"/>
                <w:lang w:eastAsia="ru-RU"/>
              </w:rPr>
              <w:t xml:space="preserve">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4"/>
            <w:shd w:val="clear" w:color="auto" w:fill="ffffff"/>
            <w:tcW w:w="1835" w:type="dxa"/>
            <w:vAlign w:val="top"/>
            <w:textDirection w:val="lrTb"/>
            <w:noWrap w:val="false"/>
          </w:tcPr>
          <w:p>
            <w:pPr>
              <w:pStyle w:val="1009"/>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13"/>
            <w:shd w:val="clear" w:color="auto" w:fill="ffffff"/>
            <w:tcW w:w="5420" w:type="dxa"/>
            <w:vAlign w:val="top"/>
            <w:textDirection w:val="lrTb"/>
            <w:noWrap w:val="false"/>
          </w:tcPr>
          <w:p>
            <w:pPr>
              <w:pStyle w:val="1009"/>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8"/>
            <w:shd w:val="clear" w:color="auto" w:fill="ffffff"/>
            <w:tcW w:w="2635" w:type="dxa"/>
            <w:vAlign w:val="top"/>
            <w:textDirection w:val="lrTb"/>
            <w:noWrap w:val="false"/>
          </w:tcPr>
          <w:p>
            <w:pPr>
              <w:pStyle w:val="1009"/>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Клиента</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4"/>
            <w:shd w:val="clear" w:color="auto" w:fill="ffffff"/>
            <w:tcW w:w="1835" w:type="dxa"/>
            <w:vAlign w:val="top"/>
            <w:textDirection w:val="lrTb"/>
            <w:noWrap w:val="false"/>
          </w:tcPr>
          <w:p>
            <w:pPr>
              <w:pStyle w:val="1009"/>
              <w:ind w:left="28"/>
              <w:spacing w:after="0" w:line="240" w:lineRule="auto"/>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r>
              <w:rPr>
                <w:rFonts w:ascii="Times New Roman" w:hAnsi="Times New Roman" w:eastAsia="Times New Roman"/>
                <w:i/>
                <w:sz w:val="18"/>
                <w:szCs w:val="18"/>
                <w:lang w:eastAsia="ru-RU"/>
              </w:rPr>
            </w:r>
          </w:p>
        </w:tc>
      </w:tr>
    </w:tbl>
    <w:p>
      <w:pPr>
        <w:pStyle w:val="973"/>
        <w:jc w:val="center"/>
        <w:widowControl w:val="off"/>
        <w:rPr>
          <w:b/>
          <w:bCs/>
          <w:sz w:val="18"/>
          <w:szCs w:val="18"/>
        </w:rPr>
      </w:pPr>
      <w:r>
        <w:rPr>
          <w:b/>
          <w:bCs/>
          <w:sz w:val="18"/>
          <w:szCs w:val="18"/>
        </w:rPr>
      </w:r>
      <w:r>
        <w:rPr>
          <w:b/>
          <w:bCs/>
          <w:sz w:val="18"/>
          <w:szCs w:val="18"/>
        </w:rPr>
      </w:r>
      <w:r>
        <w:rPr>
          <w:b/>
          <w:bCs/>
          <w:sz w:val="18"/>
          <w:szCs w:val="18"/>
        </w:rP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Segoe UI Symbol">
    <w:panose1 w:val="020B0502040204020203"/>
  </w:font>
  <w:font w:name="Wingdings">
    <w:panose1 w:val="05000000000000000000"/>
  </w:font>
  <w:font w:name="Symbol">
    <w:panose1 w:val="05050102010706020507"/>
  </w:font>
  <w:font w:name="Calibri">
    <w:panose1 w:val="020F0502020204030204"/>
  </w:font>
  <w:font w:name="Cambria">
    <w:panose1 w:val="02040503050406030204"/>
  </w:font>
  <w:font w:name="Times New Roman">
    <w:panose1 w:val="02020603050405020304"/>
  </w:font>
  <w:font w:name="Courier New">
    <w:panose1 w:val="02070309020205020404"/>
  </w:font>
  <w:font w:name="PragmaticaCTT">
    <w:panose1 w:val="02000603000000000000"/>
  </w:font>
  <w:font w:name="Verdana">
    <w:panose1 w:val="020B0604030504040204"/>
  </w:font>
  <w:font w:name="Arial Unicode M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7"/>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956"/>
        <w:jc w:val="both"/>
        <w:spacing w:after="0" w:afterAutospacing="0"/>
        <w:rPr>
          <w:sz w:val="18"/>
          <w:szCs w:val="18"/>
        </w:rPr>
      </w:pPr>
      <w:r>
        <w:rPr>
          <w:rStyle w:val="958"/>
          <w:sz w:val="18"/>
          <w:szCs w:val="18"/>
        </w:rPr>
        <w:footnoteRef/>
      </w:r>
      <w:r>
        <w:rPr>
          <w:sz w:val="18"/>
          <w:szCs w:val="18"/>
        </w:rPr>
        <w:t xml:space="preserve"> </w:t>
      </w:r>
      <w:r>
        <w:rPr>
          <w:sz w:val="18"/>
          <w:szCs w:val="18"/>
        </w:rPr>
        <w:t xml:space="preserve">В случае если предпола</w:t>
      </w:r>
      <w:r>
        <w:rPr>
          <w:sz w:val="18"/>
          <w:szCs w:val="18"/>
        </w:rPr>
        <w:t xml:space="preserve">гается изменение </w:t>
      </w:r>
      <w:r>
        <w:rPr>
          <w:sz w:val="18"/>
          <w:szCs w:val="18"/>
        </w:rPr>
        <w:t xml:space="preserve">параметров Контроля за платежами.Акцепт по нескольким уполномоченным лицам, то заявление необходимо дополнить соответствующим количеством блоков для заполнения информации об уполномоченных лицах и номере (ах) счета(ов).</w:t>
      </w:r>
      <w:r>
        <w:rPr>
          <w:sz w:val="18"/>
          <w:szCs w:val="18"/>
        </w:rPr>
      </w:r>
      <w:r>
        <w:rPr>
          <w:sz w:val="18"/>
          <w:szCs w:val="18"/>
        </w:rPr>
      </w:r>
    </w:p>
  </w:footnote>
  <w:footnote w:id="3">
    <w:p>
      <w:pPr>
        <w:pStyle w:val="956"/>
        <w:jc w:val="both"/>
        <w:spacing w:after="0" w:afterAutospacing="0"/>
        <w:rPr>
          <w:b w:val="0"/>
          <w:bCs w:val="0"/>
          <w:sz w:val="18"/>
          <w:szCs w:val="18"/>
        </w:rPr>
      </w:pPr>
      <w:r>
        <w:rPr>
          <w:rStyle w:val="958"/>
          <w:sz w:val="18"/>
          <w:szCs w:val="18"/>
        </w:rPr>
        <w:footnoteRef/>
      </w:r>
      <w:r>
        <w:rPr>
          <w:b w:val="0"/>
          <w:bCs w:val="0"/>
          <w:sz w:val="18"/>
          <w:szCs w:val="18"/>
        </w:rPr>
        <w:t xml:space="preserve"> </w:t>
      </w:r>
      <w:r>
        <w:rPr>
          <w:b w:val="0"/>
          <w:bCs w:val="0"/>
          <w:sz w:val="18"/>
          <w:szCs w:val="18"/>
        </w:rPr>
        <w:t xml:space="preserve">Если Клиенту требуется прекращение </w:t>
      </w:r>
      <w:r>
        <w:rPr>
          <w:rFonts w:ascii="Times New Roman" w:hAnsi="Times New Roman"/>
          <w:b w:val="0"/>
          <w:bCs w:val="0"/>
          <w:sz w:val="18"/>
          <w:szCs w:val="18"/>
        </w:rPr>
        <w:t xml:space="preserve">Контроля за платежами.Акцепт уполномоченному лицу с правом акцепта, в том числе по транзитному валютному счету, то номер транзитного валютного счета необходимо указать </w:t>
      </w:r>
      <w:r>
        <w:rPr>
          <w:sz w:val="18"/>
          <w:szCs w:val="18"/>
        </w:rPr>
        <w:t xml:space="preserve">дополнительно к банковскому счету в иностранной валют</w:t>
      </w:r>
      <w:r>
        <w:rPr>
          <w:rFonts w:ascii="Times New Roman" w:hAnsi="Times New Roman"/>
          <w:b w:val="0"/>
          <w:bCs w:val="0"/>
          <w:sz w:val="18"/>
          <w:szCs w:val="18"/>
        </w:rPr>
        <w:t xml:space="preserve">е. В случае неуказания Клиентом номера транзитного валютного счета, данный счет не будет отключен уполномоченному лицу с правом акцепта.</w:t>
      </w:r>
      <w:r>
        <w:rPr>
          <w:b w:val="0"/>
          <w:bCs w:val="0"/>
          <w:sz w:val="18"/>
          <w:szCs w:val="18"/>
        </w:rPr>
      </w:r>
      <w:r>
        <w:rPr>
          <w:b w:val="0"/>
          <w:bCs w:val="0"/>
          <w:sz w:val="18"/>
          <w:szCs w:val="18"/>
        </w:rPr>
      </w:r>
    </w:p>
  </w:footnote>
  <w:footnote w:id="4">
    <w:p>
      <w:pPr>
        <w:pStyle w:val="956"/>
        <w:jc w:val="both"/>
        <w:spacing w:after="0" w:afterAutospacing="0"/>
        <w:rPr>
          <w:sz w:val="18"/>
          <w:szCs w:val="18"/>
        </w:rPr>
      </w:pPr>
      <w:r>
        <w:rPr>
          <w:rStyle w:val="958"/>
          <w:sz w:val="18"/>
          <w:szCs w:val="18"/>
        </w:rPr>
        <w:footnoteRef/>
      </w:r>
      <w:r>
        <w:rPr>
          <w:sz w:val="18"/>
          <w:szCs w:val="18"/>
        </w:rPr>
        <w:t xml:space="preserve"> </w:t>
      </w:r>
      <w:r>
        <w:rPr>
          <w:sz w:val="18"/>
          <w:szCs w:val="18"/>
        </w:rPr>
        <w:t xml:space="preserve">В случае если Контроль за платежами.Акцепт</w:t>
      </w:r>
      <w:r>
        <w:rPr>
          <w:sz w:val="18"/>
          <w:szCs w:val="18"/>
        </w:rPr>
        <w:t xml:space="preserve"> предоставляется уполномоченному лицу с правом акцепта по счету в иностранной валюте и планируется предоставление данному лицу, в том числе доступа к транзитному валютному счету</w:t>
      </w:r>
      <w:r>
        <w:rPr>
          <w:sz w:val="18"/>
          <w:szCs w:val="18"/>
        </w:rPr>
        <w:t xml:space="preserve">, то указание номера транзитного </w:t>
      </w:r>
      <w:r>
        <w:rPr>
          <w:sz w:val="18"/>
          <w:szCs w:val="18"/>
        </w:rPr>
        <w:t xml:space="preserve">валютного </w:t>
      </w:r>
      <w:r>
        <w:rPr>
          <w:sz w:val="18"/>
          <w:szCs w:val="18"/>
        </w:rPr>
        <w:t xml:space="preserve">счета дополнительно </w:t>
      </w:r>
      <w:r>
        <w:rPr>
          <w:sz w:val="18"/>
          <w:szCs w:val="18"/>
        </w:rPr>
        <w:t xml:space="preserve">к банковскому счету в иностранной валюте </w:t>
      </w:r>
      <w:r>
        <w:rPr>
          <w:sz w:val="18"/>
          <w:szCs w:val="18"/>
        </w:rPr>
        <w:t xml:space="preserve">является обязательным. </w:t>
      </w:r>
      <w:r>
        <w:rPr>
          <w:sz w:val="18"/>
          <w:szCs w:val="18"/>
        </w:rPr>
      </w:r>
      <w:r>
        <w:rPr>
          <w:sz w:val="18"/>
          <w:szCs w:val="18"/>
        </w:rPr>
      </w:r>
    </w:p>
  </w:footnote>
  <w:footnote w:id="5">
    <w:p>
      <w:pPr>
        <w:contextualSpacing/>
        <w:ind w:left="0" w:right="0" w:firstLine="0"/>
        <w:jc w:val="both"/>
        <w:spacing w:after="0" w:afterAutospacing="0" w:line="240" w:lineRule="auto"/>
        <w:tabs>
          <w:tab w:val="left" w:pos="4819" w:leader="none"/>
        </w:tabs>
        <w:rPr>
          <w:rFonts w:ascii="Times New Roman" w:hAnsi="Times New Roman" w:cs="Times New Roman"/>
          <w:sz w:val="18"/>
          <w:szCs w:val="18"/>
        </w:rPr>
      </w:pPr>
      <w:r>
        <w:rPr>
          <w:rStyle w:val="958"/>
          <w:sz w:val="18"/>
          <w:szCs w:val="18"/>
        </w:rPr>
        <w:footnoteRef/>
      </w:r>
      <w:r>
        <w:rPr>
          <w:sz w:val="18"/>
          <w:szCs w:val="18"/>
        </w:rPr>
        <w:t xml:space="preserve"> </w:t>
      </w:r>
      <w:r>
        <w:rPr>
          <w:rFonts w:ascii="Times New Roman" w:hAnsi="Times New Roman" w:cs="Times New Roman"/>
          <w:sz w:val="18"/>
          <w:szCs w:val="18"/>
          <w:lang w:val="ru-RU" w:eastAsia="en-US"/>
        </w:rPr>
        <w:t xml:space="preserve">Условия дистанционного </w:t>
      </w:r>
      <w:r>
        <w:rPr>
          <w:rFonts w:ascii="Times New Roman" w:hAnsi="Times New Roman" w:cs="Times New Roman"/>
          <w:sz w:val="18"/>
          <w:szCs w:val="18"/>
          <w:lang w:val="ru-RU" w:eastAsia="en-US"/>
        </w:rPr>
        <w:t xml:space="preserve">банковского </w:t>
      </w:r>
      <w:r>
        <w:rPr>
          <w:rFonts w:ascii="Times New Roman" w:hAnsi="Times New Roman" w:cs="Times New Roman"/>
          <w:sz w:val="18"/>
          <w:szCs w:val="18"/>
          <w:lang w:val="ru-RU" w:eastAsia="en-US"/>
        </w:rPr>
        <w:t xml:space="preserve">обслуживания юридических лиц и индивидуальных предпринимателей </w:t>
        <w:br/>
      </w:r>
      <w:r>
        <w:rPr>
          <w:rFonts w:ascii="Times New Roman" w:hAnsi="Times New Roman" w:cs="Times New Roman"/>
          <w:sz w:val="18"/>
          <w:szCs w:val="18"/>
          <w:lang w:eastAsia="ru-RU"/>
        </w:rPr>
        <w:t xml:space="preserve">в АО «Россельхозбанк» с использованием </w:t>
      </w:r>
      <w:r>
        <w:rPr>
          <w:rFonts w:ascii="Times New Roman" w:hAnsi="Times New Roman" w:cs="Times New Roman"/>
          <w:iCs/>
          <w:sz w:val="18"/>
          <w:szCs w:val="18"/>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18"/>
          <w:szCs w:val="18"/>
          <w:lang w:eastAsia="ru-RU"/>
        </w:rPr>
        <w:t xml:space="preserve">в рамках Единого сервисного договора</w:t>
      </w:r>
      <w:r>
        <w:rPr>
          <w:sz w:val="18"/>
          <w:szCs w:val="18"/>
        </w:rPr>
        <w:t xml:space="preserve">.</w:t>
      </w:r>
      <w:r>
        <w:rPr>
          <w:rFonts w:ascii="Times New Roman" w:hAnsi="Times New Roman" w:cs="Times New Roman"/>
          <w:sz w:val="18"/>
          <w:szCs w:val="18"/>
        </w:rPr>
      </w:r>
      <w:r>
        <w:rPr>
          <w:rFonts w:ascii="Times New Roman" w:hAnsi="Times New Roman" w:cs="Times New Roman"/>
          <w:sz w:val="18"/>
          <w:szCs w:val="18"/>
        </w:rPr>
      </w:r>
    </w:p>
  </w:footnote>
  <w:footnote w:id="6">
    <w:p>
      <w:pPr>
        <w:pStyle w:val="956"/>
        <w:jc w:val="both"/>
        <w:spacing w:after="0" w:afterAutospacing="0" w:line="240" w:lineRule="auto"/>
        <w:rPr>
          <w:b w:val="0"/>
          <w:bCs w:val="0"/>
          <w:sz w:val="18"/>
          <w:szCs w:val="18"/>
        </w:rPr>
      </w:pPr>
      <w:r>
        <w:rPr>
          <w:rStyle w:val="958"/>
          <w:sz w:val="18"/>
          <w:szCs w:val="18"/>
        </w:rPr>
        <w:footnoteRef/>
      </w:r>
      <w:r>
        <w:rPr>
          <w:sz w:val="18"/>
          <w:szCs w:val="18"/>
        </w:rPr>
        <w:t xml:space="preserve"> </w:t>
      </w:r>
      <w:r>
        <w:rPr>
          <w:rFonts w:ascii="Times New Roman" w:hAnsi="Times New Roman"/>
          <w:b w:val="0"/>
          <w:bCs w:val="0"/>
          <w:sz w:val="18"/>
          <w:szCs w:val="18"/>
        </w:rPr>
        <w:t xml:space="preserve">Размещены в региональной части официального сайта Банка в сети интернет по адресу https://www.rshb.ru</w:t>
      </w:r>
      <w:r>
        <w:rPr>
          <w:b w:val="0"/>
          <w:bCs w:val="0"/>
          <w:sz w:val="18"/>
          <w:szCs w:val="18"/>
        </w:rPr>
        <w:t xml:space="preserve">.</w:t>
      </w:r>
      <w:r>
        <w:rPr>
          <w:b w:val="0"/>
          <w:bCs w:val="0"/>
          <w:sz w:val="18"/>
          <w:szCs w:val="18"/>
        </w:rPr>
      </w:r>
      <w:r>
        <w:rPr>
          <w:b w:val="0"/>
          <w:bCs w:val="0"/>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95"/>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95">
    <w:name w:val="Heading 1"/>
    <w:basedOn w:val="973"/>
    <w:next w:val="973"/>
    <w:link w:val="796"/>
    <w:uiPriority w:val="9"/>
    <w:qFormat/>
    <w:pPr>
      <w:keepLines/>
      <w:keepNext/>
      <w:spacing w:before="480" w:after="200"/>
      <w:outlineLvl w:val="0"/>
    </w:pPr>
    <w:rPr>
      <w:rFonts w:ascii="Arial" w:hAnsi="Arial" w:eastAsia="Arial" w:cs="Arial"/>
      <w:sz w:val="40"/>
      <w:szCs w:val="40"/>
    </w:rPr>
  </w:style>
  <w:style w:type="character" w:styleId="796">
    <w:name w:val="Heading 1 Char"/>
    <w:link w:val="795"/>
    <w:uiPriority w:val="9"/>
    <w:rPr>
      <w:rFonts w:ascii="Arial" w:hAnsi="Arial" w:eastAsia="Arial" w:cs="Arial"/>
      <w:sz w:val="40"/>
      <w:szCs w:val="40"/>
    </w:rPr>
  </w:style>
  <w:style w:type="paragraph" w:styleId="797">
    <w:name w:val="Heading 2"/>
    <w:basedOn w:val="973"/>
    <w:next w:val="973"/>
    <w:link w:val="798"/>
    <w:uiPriority w:val="9"/>
    <w:unhideWhenUsed/>
    <w:qFormat/>
    <w:pPr>
      <w:keepLines/>
      <w:keepNext/>
      <w:spacing w:before="360" w:after="200"/>
      <w:outlineLvl w:val="1"/>
    </w:pPr>
    <w:rPr>
      <w:rFonts w:ascii="Arial" w:hAnsi="Arial" w:eastAsia="Arial" w:cs="Arial"/>
      <w:sz w:val="34"/>
    </w:rPr>
  </w:style>
  <w:style w:type="character" w:styleId="798">
    <w:name w:val="Heading 2 Char"/>
    <w:link w:val="797"/>
    <w:uiPriority w:val="9"/>
    <w:rPr>
      <w:rFonts w:ascii="Arial" w:hAnsi="Arial" w:eastAsia="Arial" w:cs="Arial"/>
      <w:sz w:val="34"/>
    </w:rPr>
  </w:style>
  <w:style w:type="paragraph" w:styleId="799">
    <w:name w:val="Heading 3"/>
    <w:basedOn w:val="973"/>
    <w:next w:val="973"/>
    <w:link w:val="800"/>
    <w:uiPriority w:val="9"/>
    <w:unhideWhenUsed/>
    <w:qFormat/>
    <w:pPr>
      <w:keepLines/>
      <w:keepNext/>
      <w:spacing w:before="320" w:after="200"/>
      <w:outlineLvl w:val="2"/>
    </w:pPr>
    <w:rPr>
      <w:rFonts w:ascii="Arial" w:hAnsi="Arial" w:eastAsia="Arial" w:cs="Arial"/>
      <w:sz w:val="30"/>
      <w:szCs w:val="30"/>
    </w:rPr>
  </w:style>
  <w:style w:type="character" w:styleId="800">
    <w:name w:val="Heading 3 Char"/>
    <w:link w:val="799"/>
    <w:uiPriority w:val="9"/>
    <w:rPr>
      <w:rFonts w:ascii="Arial" w:hAnsi="Arial" w:eastAsia="Arial" w:cs="Arial"/>
      <w:sz w:val="30"/>
      <w:szCs w:val="30"/>
    </w:rPr>
  </w:style>
  <w:style w:type="paragraph" w:styleId="801">
    <w:name w:val="Heading 4"/>
    <w:basedOn w:val="973"/>
    <w:next w:val="973"/>
    <w:link w:val="802"/>
    <w:uiPriority w:val="9"/>
    <w:unhideWhenUsed/>
    <w:qFormat/>
    <w:pPr>
      <w:keepLines/>
      <w:keepNext/>
      <w:spacing w:before="320" w:after="200"/>
      <w:outlineLvl w:val="3"/>
    </w:pPr>
    <w:rPr>
      <w:rFonts w:ascii="Arial" w:hAnsi="Arial" w:eastAsia="Arial" w:cs="Arial"/>
      <w:b/>
      <w:bCs/>
      <w:sz w:val="26"/>
      <w:szCs w:val="26"/>
    </w:rPr>
  </w:style>
  <w:style w:type="character" w:styleId="802">
    <w:name w:val="Heading 4 Char"/>
    <w:link w:val="801"/>
    <w:uiPriority w:val="9"/>
    <w:rPr>
      <w:rFonts w:ascii="Arial" w:hAnsi="Arial" w:eastAsia="Arial" w:cs="Arial"/>
      <w:b/>
      <w:bCs/>
      <w:sz w:val="26"/>
      <w:szCs w:val="26"/>
    </w:rPr>
  </w:style>
  <w:style w:type="paragraph" w:styleId="803">
    <w:name w:val="Heading 5"/>
    <w:basedOn w:val="973"/>
    <w:next w:val="973"/>
    <w:link w:val="804"/>
    <w:uiPriority w:val="9"/>
    <w:unhideWhenUsed/>
    <w:qFormat/>
    <w:pPr>
      <w:keepLines/>
      <w:keepNext/>
      <w:spacing w:before="320" w:after="200"/>
      <w:outlineLvl w:val="4"/>
    </w:pPr>
    <w:rPr>
      <w:rFonts w:ascii="Arial" w:hAnsi="Arial" w:eastAsia="Arial" w:cs="Arial"/>
      <w:b/>
      <w:bCs/>
      <w:sz w:val="24"/>
      <w:szCs w:val="24"/>
    </w:rPr>
  </w:style>
  <w:style w:type="character" w:styleId="804">
    <w:name w:val="Heading 5 Char"/>
    <w:link w:val="803"/>
    <w:uiPriority w:val="9"/>
    <w:rPr>
      <w:rFonts w:ascii="Arial" w:hAnsi="Arial" w:eastAsia="Arial" w:cs="Arial"/>
      <w:b/>
      <w:bCs/>
      <w:sz w:val="24"/>
      <w:szCs w:val="24"/>
    </w:rPr>
  </w:style>
  <w:style w:type="paragraph" w:styleId="805">
    <w:name w:val="Heading 6"/>
    <w:basedOn w:val="973"/>
    <w:next w:val="973"/>
    <w:link w:val="806"/>
    <w:uiPriority w:val="9"/>
    <w:unhideWhenUsed/>
    <w:qFormat/>
    <w:pPr>
      <w:keepLines/>
      <w:keepNext/>
      <w:spacing w:before="320" w:after="200"/>
      <w:outlineLvl w:val="5"/>
    </w:pPr>
    <w:rPr>
      <w:rFonts w:ascii="Arial" w:hAnsi="Arial" w:eastAsia="Arial" w:cs="Arial"/>
      <w:b/>
      <w:bCs/>
      <w:sz w:val="22"/>
      <w:szCs w:val="22"/>
    </w:rPr>
  </w:style>
  <w:style w:type="character" w:styleId="806">
    <w:name w:val="Heading 6 Char"/>
    <w:link w:val="805"/>
    <w:uiPriority w:val="9"/>
    <w:rPr>
      <w:rFonts w:ascii="Arial" w:hAnsi="Arial" w:eastAsia="Arial" w:cs="Arial"/>
      <w:b/>
      <w:bCs/>
      <w:sz w:val="22"/>
      <w:szCs w:val="22"/>
    </w:rPr>
  </w:style>
  <w:style w:type="paragraph" w:styleId="807">
    <w:name w:val="Heading 7"/>
    <w:basedOn w:val="973"/>
    <w:next w:val="973"/>
    <w:link w:val="808"/>
    <w:uiPriority w:val="9"/>
    <w:unhideWhenUsed/>
    <w:qFormat/>
    <w:pPr>
      <w:keepLines/>
      <w:keepNext/>
      <w:spacing w:before="320" w:after="200"/>
      <w:outlineLvl w:val="6"/>
    </w:pPr>
    <w:rPr>
      <w:rFonts w:ascii="Arial" w:hAnsi="Arial" w:eastAsia="Arial" w:cs="Arial"/>
      <w:b/>
      <w:bCs/>
      <w:i/>
      <w:iCs/>
      <w:sz w:val="22"/>
      <w:szCs w:val="22"/>
    </w:rPr>
  </w:style>
  <w:style w:type="character" w:styleId="808">
    <w:name w:val="Heading 7 Char"/>
    <w:link w:val="807"/>
    <w:uiPriority w:val="9"/>
    <w:rPr>
      <w:rFonts w:ascii="Arial" w:hAnsi="Arial" w:eastAsia="Arial" w:cs="Arial"/>
      <w:b/>
      <w:bCs/>
      <w:i/>
      <w:iCs/>
      <w:sz w:val="22"/>
      <w:szCs w:val="22"/>
    </w:rPr>
  </w:style>
  <w:style w:type="paragraph" w:styleId="809">
    <w:name w:val="Heading 8"/>
    <w:basedOn w:val="973"/>
    <w:next w:val="973"/>
    <w:link w:val="810"/>
    <w:uiPriority w:val="9"/>
    <w:unhideWhenUsed/>
    <w:qFormat/>
    <w:pPr>
      <w:keepLines/>
      <w:keepNext/>
      <w:spacing w:before="320" w:after="200"/>
      <w:outlineLvl w:val="7"/>
    </w:pPr>
    <w:rPr>
      <w:rFonts w:ascii="Arial" w:hAnsi="Arial" w:eastAsia="Arial" w:cs="Arial"/>
      <w:i/>
      <w:iCs/>
      <w:sz w:val="22"/>
      <w:szCs w:val="22"/>
    </w:rPr>
  </w:style>
  <w:style w:type="character" w:styleId="810">
    <w:name w:val="Heading 8 Char"/>
    <w:link w:val="809"/>
    <w:uiPriority w:val="9"/>
    <w:rPr>
      <w:rFonts w:ascii="Arial" w:hAnsi="Arial" w:eastAsia="Arial" w:cs="Arial"/>
      <w:i/>
      <w:iCs/>
      <w:sz w:val="22"/>
      <w:szCs w:val="22"/>
    </w:rPr>
  </w:style>
  <w:style w:type="paragraph" w:styleId="811">
    <w:name w:val="Heading 9"/>
    <w:basedOn w:val="973"/>
    <w:next w:val="973"/>
    <w:link w:val="812"/>
    <w:uiPriority w:val="9"/>
    <w:unhideWhenUsed/>
    <w:qFormat/>
    <w:pPr>
      <w:keepLines/>
      <w:keepNext/>
      <w:spacing w:before="320" w:after="200"/>
      <w:outlineLvl w:val="8"/>
    </w:pPr>
    <w:rPr>
      <w:rFonts w:ascii="Arial" w:hAnsi="Arial" w:eastAsia="Arial" w:cs="Arial"/>
      <w:i/>
      <w:iCs/>
      <w:sz w:val="21"/>
      <w:szCs w:val="21"/>
    </w:rPr>
  </w:style>
  <w:style w:type="character" w:styleId="812">
    <w:name w:val="Heading 9 Char"/>
    <w:link w:val="811"/>
    <w:uiPriority w:val="9"/>
    <w:rPr>
      <w:rFonts w:ascii="Arial" w:hAnsi="Arial" w:eastAsia="Arial" w:cs="Arial"/>
      <w:i/>
      <w:iCs/>
      <w:sz w:val="21"/>
      <w:szCs w:val="21"/>
    </w:rPr>
  </w:style>
  <w:style w:type="paragraph" w:styleId="813">
    <w:name w:val="List Paragraph"/>
    <w:basedOn w:val="973"/>
    <w:uiPriority w:val="34"/>
    <w:qFormat/>
    <w:pPr>
      <w:contextualSpacing/>
      <w:ind w:left="720"/>
    </w:pPr>
  </w:style>
  <w:style w:type="paragraph" w:styleId="814">
    <w:name w:val="No Spacing"/>
    <w:uiPriority w:val="1"/>
    <w:qFormat/>
    <w:pPr>
      <w:spacing w:before="0" w:after="0" w:line="240" w:lineRule="auto"/>
    </w:pPr>
  </w:style>
  <w:style w:type="paragraph" w:styleId="815">
    <w:name w:val="Title"/>
    <w:basedOn w:val="973"/>
    <w:next w:val="973"/>
    <w:link w:val="816"/>
    <w:uiPriority w:val="10"/>
    <w:qFormat/>
    <w:pPr>
      <w:contextualSpacing/>
      <w:spacing w:before="300" w:after="200"/>
    </w:pPr>
    <w:rPr>
      <w:sz w:val="48"/>
      <w:szCs w:val="48"/>
    </w:rPr>
  </w:style>
  <w:style w:type="character" w:styleId="816">
    <w:name w:val="Title Char"/>
    <w:link w:val="815"/>
    <w:uiPriority w:val="10"/>
    <w:rPr>
      <w:sz w:val="48"/>
      <w:szCs w:val="48"/>
    </w:rPr>
  </w:style>
  <w:style w:type="paragraph" w:styleId="817">
    <w:name w:val="Subtitle"/>
    <w:basedOn w:val="973"/>
    <w:next w:val="973"/>
    <w:link w:val="818"/>
    <w:uiPriority w:val="11"/>
    <w:qFormat/>
    <w:pPr>
      <w:spacing w:before="200" w:after="200"/>
    </w:pPr>
    <w:rPr>
      <w:sz w:val="24"/>
      <w:szCs w:val="24"/>
    </w:rPr>
  </w:style>
  <w:style w:type="character" w:styleId="818">
    <w:name w:val="Subtitle Char"/>
    <w:link w:val="817"/>
    <w:uiPriority w:val="11"/>
    <w:rPr>
      <w:sz w:val="24"/>
      <w:szCs w:val="24"/>
    </w:rPr>
  </w:style>
  <w:style w:type="paragraph" w:styleId="819">
    <w:name w:val="Quote"/>
    <w:basedOn w:val="973"/>
    <w:next w:val="973"/>
    <w:link w:val="820"/>
    <w:uiPriority w:val="29"/>
    <w:qFormat/>
    <w:pPr>
      <w:ind w:left="720" w:right="720"/>
    </w:pPr>
    <w:rPr>
      <w:i/>
    </w:rPr>
  </w:style>
  <w:style w:type="character" w:styleId="820">
    <w:name w:val="Quote Char"/>
    <w:link w:val="819"/>
    <w:uiPriority w:val="29"/>
    <w:rPr>
      <w:i/>
    </w:rPr>
  </w:style>
  <w:style w:type="paragraph" w:styleId="821">
    <w:name w:val="Intense Quote"/>
    <w:basedOn w:val="973"/>
    <w:next w:val="973"/>
    <w:link w:val="822"/>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22">
    <w:name w:val="Intense Quote Char"/>
    <w:link w:val="821"/>
    <w:uiPriority w:val="30"/>
    <w:rPr>
      <w:i/>
    </w:rPr>
  </w:style>
  <w:style w:type="paragraph" w:styleId="823">
    <w:name w:val="Header"/>
    <w:basedOn w:val="973"/>
    <w:link w:val="824"/>
    <w:uiPriority w:val="99"/>
    <w:unhideWhenUsed/>
    <w:pPr>
      <w:spacing w:after="0" w:line="240" w:lineRule="auto"/>
      <w:tabs>
        <w:tab w:val="center" w:pos="7143" w:leader="none"/>
        <w:tab w:val="right" w:pos="14287" w:leader="none"/>
      </w:tabs>
    </w:pPr>
  </w:style>
  <w:style w:type="character" w:styleId="824">
    <w:name w:val="Header Char"/>
    <w:link w:val="823"/>
    <w:uiPriority w:val="99"/>
  </w:style>
  <w:style w:type="paragraph" w:styleId="825">
    <w:name w:val="Footer"/>
    <w:basedOn w:val="973"/>
    <w:link w:val="828"/>
    <w:uiPriority w:val="99"/>
    <w:unhideWhenUsed/>
    <w:pPr>
      <w:spacing w:after="0" w:line="240" w:lineRule="auto"/>
      <w:tabs>
        <w:tab w:val="center" w:pos="7143" w:leader="none"/>
        <w:tab w:val="right" w:pos="14287" w:leader="none"/>
      </w:tabs>
    </w:pPr>
  </w:style>
  <w:style w:type="character" w:styleId="826">
    <w:name w:val="Footer Char"/>
    <w:link w:val="825"/>
    <w:uiPriority w:val="99"/>
  </w:style>
  <w:style w:type="paragraph" w:styleId="827">
    <w:name w:val="Caption"/>
    <w:basedOn w:val="973"/>
    <w:next w:val="973"/>
    <w:link w:val="828"/>
    <w:uiPriority w:val="35"/>
    <w:semiHidden/>
    <w:unhideWhenUsed/>
    <w:qFormat/>
    <w:pPr>
      <w:spacing w:line="276" w:lineRule="auto"/>
    </w:pPr>
    <w:rPr>
      <w:b/>
      <w:bCs/>
      <w:color w:val="4f81bd" w:themeColor="accent1"/>
      <w:sz w:val="18"/>
      <w:szCs w:val="18"/>
    </w:rPr>
  </w:style>
  <w:style w:type="character" w:styleId="828">
    <w:name w:val="Caption Char"/>
    <w:basedOn w:val="827"/>
    <w:link w:val="825"/>
    <w:uiPriority w:val="99"/>
  </w:style>
  <w:style w:type="table" w:styleId="829">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30">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31">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32">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33">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34">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35">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36">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37">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38">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39">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40">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41">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42">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43">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44">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45">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46">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47">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48">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49">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50">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1">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2">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3">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4">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5">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6">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57">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58">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59">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60">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61">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62">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63">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64">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65">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66">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7">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68">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69">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70">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71">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72">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73">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74">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75">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76">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77">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78">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79">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80">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81">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82">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83">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84">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85">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86">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87">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88">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89">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90">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91">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92">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93">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94">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95">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96">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97">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98">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99">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00">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01">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02">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03">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04">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05">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06">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07">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08">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09">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10">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11">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12">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13">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4">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5">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6">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7">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8">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19">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20">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21">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22">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23">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24">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25">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26">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27">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28">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29">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30">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31">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32">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33">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34">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35">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36">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37">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38">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39">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40">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41">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42">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43">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44">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45">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46">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47">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48">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49">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50">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51">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52">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53">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54">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55">
    <w:name w:val="Hyperlink"/>
    <w:uiPriority w:val="99"/>
    <w:unhideWhenUsed/>
    <w:rPr>
      <w:color w:val="0000ff" w:themeColor="hyperlink"/>
      <w:u w:val="single"/>
    </w:rPr>
  </w:style>
  <w:style w:type="paragraph" w:styleId="956">
    <w:name w:val="footnote text"/>
    <w:basedOn w:val="973"/>
    <w:link w:val="957"/>
    <w:uiPriority w:val="99"/>
    <w:semiHidden/>
    <w:unhideWhenUsed/>
    <w:pPr>
      <w:spacing w:after="40" w:line="240" w:lineRule="auto"/>
    </w:pPr>
    <w:rPr>
      <w:sz w:val="18"/>
    </w:rPr>
  </w:style>
  <w:style w:type="character" w:styleId="957">
    <w:name w:val="Footnote Text Char"/>
    <w:link w:val="956"/>
    <w:uiPriority w:val="99"/>
    <w:rPr>
      <w:sz w:val="18"/>
    </w:rPr>
  </w:style>
  <w:style w:type="character" w:styleId="958">
    <w:name w:val="footnote reference"/>
    <w:uiPriority w:val="99"/>
    <w:unhideWhenUsed/>
    <w:rPr>
      <w:vertAlign w:val="superscript"/>
    </w:rPr>
  </w:style>
  <w:style w:type="paragraph" w:styleId="959">
    <w:name w:val="endnote text"/>
    <w:basedOn w:val="973"/>
    <w:link w:val="960"/>
    <w:uiPriority w:val="99"/>
    <w:semiHidden/>
    <w:unhideWhenUsed/>
    <w:pPr>
      <w:spacing w:after="0" w:line="240" w:lineRule="auto"/>
    </w:pPr>
    <w:rPr>
      <w:sz w:val="20"/>
    </w:rPr>
  </w:style>
  <w:style w:type="character" w:styleId="960">
    <w:name w:val="Endnote Text Char"/>
    <w:link w:val="959"/>
    <w:uiPriority w:val="99"/>
    <w:rPr>
      <w:sz w:val="20"/>
    </w:rPr>
  </w:style>
  <w:style w:type="character" w:styleId="961">
    <w:name w:val="endnote reference"/>
    <w:uiPriority w:val="99"/>
    <w:semiHidden/>
    <w:unhideWhenUsed/>
    <w:rPr>
      <w:vertAlign w:val="superscript"/>
    </w:rPr>
  </w:style>
  <w:style w:type="paragraph" w:styleId="962">
    <w:name w:val="toc 1"/>
    <w:basedOn w:val="973"/>
    <w:next w:val="973"/>
    <w:uiPriority w:val="39"/>
    <w:unhideWhenUsed/>
    <w:pPr>
      <w:ind w:left="0" w:right="0" w:firstLine="0"/>
      <w:spacing w:after="57"/>
    </w:pPr>
  </w:style>
  <w:style w:type="paragraph" w:styleId="963">
    <w:name w:val="toc 2"/>
    <w:basedOn w:val="973"/>
    <w:next w:val="973"/>
    <w:uiPriority w:val="39"/>
    <w:unhideWhenUsed/>
    <w:pPr>
      <w:ind w:left="283" w:right="0" w:firstLine="0"/>
      <w:spacing w:after="57"/>
    </w:pPr>
  </w:style>
  <w:style w:type="paragraph" w:styleId="964">
    <w:name w:val="toc 3"/>
    <w:basedOn w:val="973"/>
    <w:next w:val="973"/>
    <w:uiPriority w:val="39"/>
    <w:unhideWhenUsed/>
    <w:pPr>
      <w:ind w:left="567" w:right="0" w:firstLine="0"/>
      <w:spacing w:after="57"/>
    </w:pPr>
  </w:style>
  <w:style w:type="paragraph" w:styleId="965">
    <w:name w:val="toc 4"/>
    <w:basedOn w:val="973"/>
    <w:next w:val="973"/>
    <w:uiPriority w:val="39"/>
    <w:unhideWhenUsed/>
    <w:pPr>
      <w:ind w:left="850" w:right="0" w:firstLine="0"/>
      <w:spacing w:after="57"/>
    </w:pPr>
  </w:style>
  <w:style w:type="paragraph" w:styleId="966">
    <w:name w:val="toc 5"/>
    <w:basedOn w:val="973"/>
    <w:next w:val="973"/>
    <w:uiPriority w:val="39"/>
    <w:unhideWhenUsed/>
    <w:pPr>
      <w:ind w:left="1134" w:right="0" w:firstLine="0"/>
      <w:spacing w:after="57"/>
    </w:pPr>
  </w:style>
  <w:style w:type="paragraph" w:styleId="967">
    <w:name w:val="toc 6"/>
    <w:basedOn w:val="973"/>
    <w:next w:val="973"/>
    <w:uiPriority w:val="39"/>
    <w:unhideWhenUsed/>
    <w:pPr>
      <w:ind w:left="1417" w:right="0" w:firstLine="0"/>
      <w:spacing w:after="57"/>
    </w:pPr>
  </w:style>
  <w:style w:type="paragraph" w:styleId="968">
    <w:name w:val="toc 7"/>
    <w:basedOn w:val="973"/>
    <w:next w:val="973"/>
    <w:uiPriority w:val="39"/>
    <w:unhideWhenUsed/>
    <w:pPr>
      <w:ind w:left="1701" w:right="0" w:firstLine="0"/>
      <w:spacing w:after="57"/>
    </w:pPr>
  </w:style>
  <w:style w:type="paragraph" w:styleId="969">
    <w:name w:val="toc 8"/>
    <w:basedOn w:val="973"/>
    <w:next w:val="973"/>
    <w:uiPriority w:val="39"/>
    <w:unhideWhenUsed/>
    <w:pPr>
      <w:ind w:left="1984" w:right="0" w:firstLine="0"/>
      <w:spacing w:after="57"/>
    </w:pPr>
  </w:style>
  <w:style w:type="paragraph" w:styleId="970">
    <w:name w:val="toc 9"/>
    <w:basedOn w:val="973"/>
    <w:next w:val="973"/>
    <w:uiPriority w:val="39"/>
    <w:unhideWhenUsed/>
    <w:pPr>
      <w:ind w:left="2268" w:right="0" w:firstLine="0"/>
      <w:spacing w:after="57"/>
    </w:pPr>
  </w:style>
  <w:style w:type="paragraph" w:styleId="971">
    <w:name w:val="TOC Heading"/>
    <w:uiPriority w:val="39"/>
    <w:unhideWhenUsed/>
  </w:style>
  <w:style w:type="paragraph" w:styleId="972">
    <w:name w:val="table of figures"/>
    <w:basedOn w:val="973"/>
    <w:next w:val="973"/>
    <w:uiPriority w:val="99"/>
    <w:unhideWhenUsed/>
    <w:pPr>
      <w:spacing w:after="0" w:afterAutospacing="0"/>
    </w:pPr>
  </w:style>
  <w:style w:type="paragraph" w:styleId="973" w:default="1">
    <w:name w:val="Normal"/>
    <w:next w:val="973"/>
    <w:link w:val="973"/>
    <w:qFormat/>
    <w:rPr>
      <w:sz w:val="24"/>
      <w:szCs w:val="24"/>
      <w:lang w:val="ru-RU" w:eastAsia="ru-RU" w:bidi="ar-SA"/>
    </w:rPr>
  </w:style>
  <w:style w:type="character" w:styleId="974">
    <w:name w:val="Основной шрифт абзаца"/>
    <w:next w:val="974"/>
    <w:link w:val="973"/>
    <w:uiPriority w:val="1"/>
    <w:semiHidden/>
    <w:unhideWhenUsed/>
  </w:style>
  <w:style w:type="table" w:styleId="975">
    <w:name w:val="Обычная таблица"/>
    <w:next w:val="975"/>
    <w:link w:val="973"/>
    <w:uiPriority w:val="99"/>
    <w:semiHidden/>
    <w:unhideWhenUsed/>
    <w:tblPr/>
  </w:style>
  <w:style w:type="numbering" w:styleId="976">
    <w:name w:val="Нет списка"/>
    <w:next w:val="976"/>
    <w:link w:val="973"/>
    <w:uiPriority w:val="99"/>
    <w:semiHidden/>
    <w:unhideWhenUsed/>
  </w:style>
  <w:style w:type="paragraph" w:styleId="977">
    <w:name w:val="Текст выноски"/>
    <w:basedOn w:val="973"/>
    <w:next w:val="977"/>
    <w:link w:val="979"/>
    <w:uiPriority w:val="99"/>
    <w:semiHidden/>
    <w:rPr>
      <w:sz w:val="20"/>
      <w:szCs w:val="20"/>
      <w:lang w:val="en-US" w:eastAsia="en-US"/>
    </w:rPr>
  </w:style>
  <w:style w:type="paragraph" w:styleId="978">
    <w:name w:val="Знак Char Char Знак Знак Char Char Знак Char Char Знак Char Char Знак Знак Знак Знак Знак Char Char Знак Char Char"/>
    <w:basedOn w:val="973"/>
    <w:next w:val="978"/>
    <w:link w:val="973"/>
    <w:uiPriority w:val="99"/>
    <w:pPr>
      <w:spacing w:after="160" w:line="240" w:lineRule="exact"/>
    </w:pPr>
    <w:rPr>
      <w:rFonts w:ascii="Verdana" w:hAnsi="Verdana"/>
      <w:sz w:val="20"/>
      <w:szCs w:val="20"/>
      <w:lang w:val="en-US" w:eastAsia="en-US"/>
    </w:rPr>
  </w:style>
  <w:style w:type="character" w:styleId="979">
    <w:name w:val="Текст выноски Знак"/>
    <w:next w:val="979"/>
    <w:link w:val="977"/>
    <w:uiPriority w:val="99"/>
    <w:semiHidden/>
    <w:rPr>
      <w:lang w:val="en-US" w:eastAsia="en-US"/>
    </w:rPr>
  </w:style>
  <w:style w:type="paragraph" w:styleId="980">
    <w:name w:val="Основной текст с отступом"/>
    <w:basedOn w:val="973"/>
    <w:next w:val="980"/>
    <w:link w:val="982"/>
    <w:uiPriority w:val="99"/>
    <w:pPr>
      <w:ind w:left="284" w:hanging="284"/>
      <w:jc w:val="both"/>
    </w:pPr>
    <w:rPr>
      <w:lang w:val="en-US" w:eastAsia="en-US"/>
    </w:rPr>
  </w:style>
  <w:style w:type="paragraph" w:styleId="981">
    <w:name w:val="Список 2"/>
    <w:basedOn w:val="973"/>
    <w:next w:val="981"/>
    <w:link w:val="973"/>
    <w:pPr>
      <w:jc w:val="both"/>
      <w:spacing w:before="60"/>
    </w:pPr>
    <w:rPr>
      <w:rFonts w:ascii="PragmaticaCTT" w:hAnsi="PragmaticaCTT" w:cs="Arial Unicode MS"/>
    </w:rPr>
  </w:style>
  <w:style w:type="character" w:styleId="982">
    <w:name w:val="Основной текст с отступом Знак"/>
    <w:next w:val="982"/>
    <w:link w:val="980"/>
    <w:uiPriority w:val="99"/>
    <w:semiHidden/>
    <w:rPr>
      <w:rFonts w:cs="Times New Roman"/>
      <w:sz w:val="24"/>
      <w:szCs w:val="24"/>
    </w:rPr>
  </w:style>
  <w:style w:type="table" w:styleId="983">
    <w:name w:val="Сетка таблицы"/>
    <w:basedOn w:val="975"/>
    <w:next w:val="983"/>
    <w:link w:val="973"/>
    <w:uiPriority w:val="99"/>
    <w:tblPr/>
  </w:style>
  <w:style w:type="paragraph" w:styleId="984">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973"/>
    <w:next w:val="984"/>
    <w:link w:val="986"/>
    <w:uiPriority w:val="99"/>
    <w:qFormat/>
    <w:rPr>
      <w:sz w:val="20"/>
      <w:szCs w:val="20"/>
      <w:lang w:val="en-US" w:eastAsia="en-US"/>
    </w:rPr>
  </w:style>
  <w:style w:type="character" w:styleId="985">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985"/>
    <w:link w:val="973"/>
    <w:qFormat/>
    <w:rPr>
      <w:rFonts w:cs="Times New Roman"/>
      <w:vertAlign w:val="superscript"/>
    </w:rPr>
  </w:style>
  <w:style w:type="character" w:styleId="986">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86"/>
    <w:link w:val="984"/>
    <w:uiPriority w:val="99"/>
    <w:qFormat/>
    <w:rPr>
      <w:rFonts w:cs="Times New Roman"/>
    </w:rPr>
  </w:style>
  <w:style w:type="paragraph" w:styleId="987">
    <w:name w:val="Название"/>
    <w:basedOn w:val="973"/>
    <w:next w:val="987"/>
    <w:link w:val="989"/>
    <w:uiPriority w:val="99"/>
    <w:qFormat/>
    <w:pPr>
      <w:jc w:val="center"/>
    </w:pPr>
    <w:rPr>
      <w:rFonts w:ascii="Cambria" w:hAnsi="Cambria"/>
      <w:b/>
      <w:bCs/>
      <w:sz w:val="32"/>
      <w:szCs w:val="32"/>
      <w:lang w:val="en-US" w:eastAsia="en-US"/>
    </w:rPr>
  </w:style>
  <w:style w:type="paragraph" w:styleId="988">
    <w:name w:val="Текст"/>
    <w:basedOn w:val="973"/>
    <w:next w:val="988"/>
    <w:link w:val="991"/>
    <w:uiPriority w:val="99"/>
    <w:rPr>
      <w:rFonts w:ascii="Courier New" w:hAnsi="Courier New"/>
      <w:sz w:val="20"/>
      <w:szCs w:val="20"/>
      <w:lang w:val="en-US" w:eastAsia="en-US"/>
    </w:rPr>
  </w:style>
  <w:style w:type="character" w:styleId="989">
    <w:name w:val="Название Знак"/>
    <w:next w:val="989"/>
    <w:link w:val="987"/>
    <w:uiPriority w:val="99"/>
    <w:rPr>
      <w:rFonts w:ascii="Cambria" w:hAnsi="Cambria" w:cs="Times New Roman"/>
      <w:b/>
      <w:bCs/>
      <w:sz w:val="32"/>
      <w:szCs w:val="32"/>
    </w:rPr>
  </w:style>
  <w:style w:type="character" w:styleId="990">
    <w:name w:val="Знак примечания"/>
    <w:next w:val="990"/>
    <w:link w:val="973"/>
    <w:uiPriority w:val="99"/>
    <w:semiHidden/>
    <w:rPr>
      <w:rFonts w:cs="Times New Roman"/>
      <w:sz w:val="16"/>
      <w:szCs w:val="16"/>
    </w:rPr>
  </w:style>
  <w:style w:type="character" w:styleId="991">
    <w:name w:val="Текст Знак"/>
    <w:next w:val="991"/>
    <w:link w:val="988"/>
    <w:uiPriority w:val="99"/>
    <w:semiHidden/>
    <w:rPr>
      <w:rFonts w:ascii="Courier New" w:hAnsi="Courier New" w:cs="Courier New"/>
    </w:rPr>
  </w:style>
  <w:style w:type="paragraph" w:styleId="992">
    <w:name w:val="Текст примечания"/>
    <w:basedOn w:val="973"/>
    <w:next w:val="992"/>
    <w:link w:val="994"/>
    <w:uiPriority w:val="99"/>
    <w:semiHidden/>
    <w:rPr>
      <w:sz w:val="20"/>
      <w:szCs w:val="20"/>
      <w:lang w:val="en-US" w:eastAsia="en-US"/>
    </w:rPr>
  </w:style>
  <w:style w:type="paragraph" w:styleId="993">
    <w:name w:val="Тема примечания"/>
    <w:basedOn w:val="992"/>
    <w:next w:val="992"/>
    <w:link w:val="996"/>
    <w:uiPriority w:val="99"/>
    <w:semiHidden/>
    <w:rPr>
      <w:b/>
      <w:bCs/>
    </w:rPr>
  </w:style>
  <w:style w:type="character" w:styleId="994">
    <w:name w:val="Текст примечания Знак"/>
    <w:next w:val="994"/>
    <w:link w:val="992"/>
    <w:uiPriority w:val="99"/>
    <w:semiHidden/>
    <w:rPr>
      <w:rFonts w:cs="Times New Roman"/>
    </w:rPr>
  </w:style>
  <w:style w:type="paragraph" w:styleId="995">
    <w:name w:val="Верхний колонтитул,Linie,ВерхКолонтитул"/>
    <w:basedOn w:val="973"/>
    <w:next w:val="995"/>
    <w:link w:val="998"/>
    <w:uiPriority w:val="99"/>
    <w:pPr>
      <w:tabs>
        <w:tab w:val="center" w:pos="4677" w:leader="none"/>
        <w:tab w:val="right" w:pos="9355" w:leader="none"/>
      </w:tabs>
    </w:pPr>
    <w:rPr>
      <w:lang w:val="en-US" w:eastAsia="en-US"/>
    </w:rPr>
  </w:style>
  <w:style w:type="character" w:styleId="996">
    <w:name w:val="Тема примечания Знак"/>
    <w:next w:val="996"/>
    <w:link w:val="993"/>
    <w:uiPriority w:val="99"/>
    <w:semiHidden/>
    <w:rPr>
      <w:rFonts w:cs="Times New Roman"/>
      <w:b/>
      <w:bCs/>
    </w:rPr>
  </w:style>
  <w:style w:type="paragraph" w:styleId="997">
    <w:name w:val="Нижний колонтитул"/>
    <w:basedOn w:val="973"/>
    <w:next w:val="997"/>
    <w:link w:val="1000"/>
    <w:uiPriority w:val="99"/>
    <w:pPr>
      <w:tabs>
        <w:tab w:val="center" w:pos="4677" w:leader="none"/>
        <w:tab w:val="right" w:pos="9355" w:leader="none"/>
      </w:tabs>
    </w:pPr>
    <w:rPr>
      <w:lang w:val="en-US" w:eastAsia="en-US"/>
    </w:rPr>
  </w:style>
  <w:style w:type="character" w:styleId="998">
    <w:name w:val="Верхний колонтитул Знак,Linie Знак,ВерхКолонтитул Знак"/>
    <w:next w:val="998"/>
    <w:link w:val="995"/>
    <w:uiPriority w:val="99"/>
    <w:rPr>
      <w:rFonts w:cs="Times New Roman"/>
      <w:sz w:val="24"/>
      <w:szCs w:val="24"/>
    </w:rPr>
  </w:style>
  <w:style w:type="paragraph" w:styleId="999">
    <w:name w:val="Основной текст 2"/>
    <w:basedOn w:val="973"/>
    <w:next w:val="999"/>
    <w:link w:val="1002"/>
    <w:pPr>
      <w:spacing w:after="120" w:line="480" w:lineRule="auto"/>
    </w:pPr>
    <w:rPr>
      <w:lang w:val="en-US" w:eastAsia="en-US"/>
    </w:rPr>
  </w:style>
  <w:style w:type="character" w:styleId="1000">
    <w:name w:val="Нижний колонтитул Знак"/>
    <w:next w:val="1000"/>
    <w:link w:val="997"/>
    <w:uiPriority w:val="99"/>
    <w:semiHidden/>
    <w:rPr>
      <w:rFonts w:cs="Times New Roman"/>
      <w:sz w:val="24"/>
      <w:szCs w:val="24"/>
    </w:rPr>
  </w:style>
  <w:style w:type="table" w:styleId="1001">
    <w:name w:val="Сетка таблицы1"/>
    <w:next w:val="1001"/>
    <w:link w:val="973"/>
    <w:uiPriority w:val="99"/>
    <w:rPr>
      <w:lang w:val="ru-RU" w:eastAsia="ru-RU" w:bidi="ar-SA"/>
    </w:rPr>
    <w:tblPr/>
  </w:style>
  <w:style w:type="character" w:styleId="1002">
    <w:name w:val="Основной текст 2 Знак"/>
    <w:next w:val="1002"/>
    <w:link w:val="999"/>
    <w:rPr>
      <w:rFonts w:cs="Times New Roman"/>
      <w:sz w:val="24"/>
      <w:szCs w:val="24"/>
    </w:rPr>
  </w:style>
  <w:style w:type="character" w:styleId="1003">
    <w:name w:val="Номер страницы"/>
    <w:next w:val="1003"/>
    <w:link w:val="973"/>
    <w:uiPriority w:val="99"/>
    <w:rPr>
      <w:rFonts w:cs="Times New Roman"/>
    </w:rPr>
  </w:style>
  <w:style w:type="paragraph" w:styleId="1004">
    <w:name w:val="Текст концевой сноски"/>
    <w:basedOn w:val="973"/>
    <w:next w:val="1004"/>
    <w:link w:val="1006"/>
    <w:uiPriority w:val="99"/>
    <w:semiHidden/>
    <w:rPr>
      <w:sz w:val="20"/>
      <w:szCs w:val="20"/>
      <w:lang w:val="en-US" w:eastAsia="en-US"/>
    </w:rPr>
  </w:style>
  <w:style w:type="character" w:styleId="1005">
    <w:name w:val="Знак концевой сноски"/>
    <w:next w:val="1005"/>
    <w:link w:val="973"/>
    <w:uiPriority w:val="99"/>
    <w:semiHidden/>
    <w:rPr>
      <w:rFonts w:cs="Times New Roman"/>
      <w:vertAlign w:val="superscript"/>
    </w:rPr>
  </w:style>
  <w:style w:type="character" w:styleId="1006">
    <w:name w:val="Текст концевой сноски Знак"/>
    <w:next w:val="1006"/>
    <w:link w:val="1004"/>
    <w:uiPriority w:val="99"/>
    <w:semiHidden/>
    <w:rPr>
      <w:rFonts w:cs="Times New Roman"/>
    </w:rPr>
  </w:style>
  <w:style w:type="character" w:styleId="1007">
    <w:name w:val="Гиперссылка"/>
    <w:next w:val="1007"/>
    <w:link w:val="973"/>
    <w:uiPriority w:val="99"/>
    <w:rPr>
      <w:rFonts w:cs="Times New Roman"/>
      <w:color w:val="0000ff"/>
      <w:u w:val="single"/>
    </w:rPr>
  </w:style>
  <w:style w:type="paragraph" w:styleId="1008">
    <w:name w:val="Рецензия"/>
    <w:next w:val="1008"/>
    <w:link w:val="973"/>
    <w:hidden/>
    <w:uiPriority w:val="99"/>
    <w:semiHidden/>
    <w:rPr>
      <w:sz w:val="24"/>
      <w:szCs w:val="24"/>
      <w:lang w:val="ru-RU" w:eastAsia="ru-RU" w:bidi="ar-SA"/>
    </w:rPr>
  </w:style>
  <w:style w:type="paragraph" w:styleId="1009">
    <w:name w:val="Абзац списка,Table-Normal,RSHB_Table-Normal,Список с узором,List Paragraph"/>
    <w:basedOn w:val="973"/>
    <w:next w:val="1009"/>
    <w:link w:val="1010"/>
    <w:uiPriority w:val="34"/>
    <w:qFormat/>
    <w:pPr>
      <w:contextualSpacing/>
      <w:ind w:left="720"/>
      <w:spacing w:after="160" w:line="259" w:lineRule="auto"/>
    </w:pPr>
    <w:rPr>
      <w:rFonts w:ascii="Calibri" w:hAnsi="Calibri" w:eastAsia="Calibri"/>
      <w:sz w:val="22"/>
      <w:szCs w:val="22"/>
      <w:lang w:eastAsia="en-US"/>
    </w:rPr>
  </w:style>
  <w:style w:type="character" w:styleId="1010">
    <w:name w:val="Абзац списка Знак,Table-Normal Знак,RSHB_Table-Normal Знак,Список с узором Знак,List Paragraph Знак"/>
    <w:next w:val="1010"/>
    <w:link w:val="1009"/>
    <w:uiPriority w:val="34"/>
    <w:rPr>
      <w:rFonts w:ascii="Calibri" w:hAnsi="Calibri" w:eastAsia="Calibri"/>
      <w:sz w:val="22"/>
      <w:szCs w:val="22"/>
      <w:lang w:eastAsia="en-US"/>
    </w:rPr>
  </w:style>
  <w:style w:type="character" w:styleId="1011" w:default="1">
    <w:name w:val="Default Paragraph Font"/>
    <w:uiPriority w:val="1"/>
    <w:semiHidden/>
    <w:unhideWhenUsed/>
  </w:style>
  <w:style w:type="numbering" w:styleId="1012" w:default="1">
    <w:name w:val="No List"/>
    <w:uiPriority w:val="99"/>
    <w:semiHidden/>
    <w:unhideWhenUsed/>
  </w:style>
  <w:style w:type="table" w:styleId="101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lastModifiedBy>slusareva</cp:lastModifiedBy>
  <cp:revision>25</cp:revision>
  <dcterms:created xsi:type="dcterms:W3CDTF">2024-10-24T13:24:00Z</dcterms:created>
  <dcterms:modified xsi:type="dcterms:W3CDTF">2025-08-13T12:14:47Z</dcterms:modified>
  <cp:version>1048576</cp:version>
</cp:coreProperties>
</file>